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4B2D" w14:textId="4B041F66" w:rsidR="00C36DEC" w:rsidRPr="00DF1432" w:rsidRDefault="00C36DEC" w:rsidP="00DF1432">
      <w:pPr>
        <w:tabs>
          <w:tab w:val="num" w:pos="720"/>
        </w:tabs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DF1432">
        <w:rPr>
          <w:rFonts w:ascii="Arial" w:hAnsi="Arial" w:cs="Arial"/>
          <w:b/>
          <w:bCs/>
          <w:sz w:val="22"/>
          <w:szCs w:val="22"/>
        </w:rPr>
        <w:t>Pulmonary cellular toxicity in alpha-1 antitrypsin deficiency: Detailed Methods</w:t>
      </w:r>
    </w:p>
    <w:p w14:paraId="6991D372" w14:textId="77777777" w:rsidR="00C36DEC" w:rsidRPr="00DF1432" w:rsidRDefault="00C36DEC" w:rsidP="00DF1432">
      <w:pPr>
        <w:tabs>
          <w:tab w:val="num" w:pos="720"/>
        </w:tabs>
        <w:ind w:left="720" w:hanging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23E483D" w14:textId="77777777" w:rsidR="00C36DEC" w:rsidRPr="00DF1432" w:rsidRDefault="00C36DEC" w:rsidP="00DF1432">
      <w:pPr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14:ligatures w14:val="none"/>
        </w:rPr>
      </w:pPr>
      <w:r w:rsidRPr="00DF1432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14:ligatures w14:val="none"/>
        </w:rPr>
        <w:t>Figure 1</w:t>
      </w:r>
    </w:p>
    <w:p w14:paraId="7294DE64" w14:textId="77777777" w:rsidR="00C36DEC" w:rsidRPr="00DF1432" w:rsidRDefault="00C36DEC" w:rsidP="00DF1432">
      <w:p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14:paraId="3A6626C0" w14:textId="738C909D" w:rsidR="00C36DEC" w:rsidRPr="00DF1432" w:rsidRDefault="00C36DEC" w:rsidP="00DF1432">
      <w:p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14:ligatures w14:val="none"/>
        </w:rPr>
      </w:pPr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14:ligatures w14:val="none"/>
        </w:rPr>
        <w:t>scRNAseq</w:t>
      </w:r>
    </w:p>
    <w:p w14:paraId="7BE95E60" w14:textId="77777777" w:rsidR="00C36DEC" w:rsidRPr="00DF1432" w:rsidRDefault="00C36DEC" w:rsidP="00DF1432">
      <w:p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:shd w:val="clear" w:color="auto" w:fill="FFFFFF"/>
          <w14:ligatures w14:val="none"/>
        </w:rPr>
        <w:t>Peripheral human lung samples from 11 donors (4 wild type “MM” COPD, 2 ZZ-AATD, 5 controls without chronic lung disease) were dissociated and CD45-reduced by magnetic-activated cell sorting. An average of 12,000 cells per donor and a total of 134,000 cells were profiled by single cell RNA sequencing (scRNAseq, 10X Chromium and Illumina). Integration was performed using Harmony. Processing and Louvain clustering were performed using Seurat.</w:t>
      </w:r>
    </w:p>
    <w:p w14:paraId="7651055A" w14:textId="77777777" w:rsidR="00C36DEC" w:rsidRPr="00DF1432" w:rsidRDefault="00C36DEC" w:rsidP="00DF1432">
      <w:p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14:paraId="42D685C8" w14:textId="1DB9A739" w:rsidR="00C36DEC" w:rsidRPr="00DF1432" w:rsidRDefault="00C36DEC" w:rsidP="00DF1432">
      <w:p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14:ligatures w14:val="none"/>
        </w:rPr>
      </w:pPr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14:ligatures w14:val="none"/>
        </w:rPr>
        <w:t>Cell identity assignment</w:t>
      </w:r>
    </w:p>
    <w:p w14:paraId="3AD71BB4" w14:textId="77777777" w:rsidR="00C36DEC" w:rsidRPr="00DF1432" w:rsidRDefault="00C36DEC" w:rsidP="00DF1432">
      <w:p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:shd w:val="clear" w:color="auto" w:fill="FFFFFF"/>
          <w14:ligatures w14:val="none"/>
        </w:rPr>
        <w:t>Cell identities were assigned to clusters using previously published single cell atlas expression signatures.</w:t>
      </w:r>
    </w:p>
    <w:p w14:paraId="694E9E42" w14:textId="1F7A7D1F" w:rsidR="00C36DEC" w:rsidRPr="00DF1432" w:rsidRDefault="00C36DEC" w:rsidP="00DF1432">
      <w:pPr>
        <w:jc w:val="both"/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  <w:r w:rsidRPr="00DF1432">
        <w:rPr>
          <w:rFonts w:ascii="Arial" w:eastAsia="Times New Roman" w:hAnsi="Arial" w:cs="Arial"/>
          <w:noProof/>
          <w:kern w:val="0"/>
          <w:sz w:val="22"/>
          <w:szCs w:val="22"/>
        </w:rPr>
        <w:drawing>
          <wp:inline distT="0" distB="0" distL="0" distR="0" wp14:anchorId="391ED751" wp14:editId="1A255F29">
            <wp:extent cx="5943600" cy="1525905"/>
            <wp:effectExtent l="0" t="0" r="0" b="0"/>
            <wp:docPr id="552216176" name="Picture 2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216176" name="Picture 2" descr="A white sheet with black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075F1" w14:textId="6ACF995F" w:rsidR="00C36DEC" w:rsidRPr="00DF1432" w:rsidRDefault="00C36DEC" w:rsidP="00DF1432">
      <w:pPr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14:ligatures w14:val="none"/>
        </w:rPr>
      </w:pPr>
      <w:r w:rsidRPr="00DF1432">
        <w:rPr>
          <w:rFonts w:ascii="Arial" w:eastAsia="Times New Roman" w:hAnsi="Arial" w:cs="Arial"/>
          <w:kern w:val="0"/>
          <w:sz w:val="22"/>
          <w:szCs w:val="22"/>
          <w14:ligatures w14:val="none"/>
        </w:rPr>
        <w:br/>
      </w:r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14:ligatures w14:val="none"/>
        </w:rPr>
        <w:t>AAT and pro-SFTPC IF &amp; imaging</w:t>
      </w:r>
    </w:p>
    <w:p w14:paraId="0B497B9E" w14:textId="77777777" w:rsidR="00C36DEC" w:rsidRPr="00DF1432" w:rsidRDefault="00C36DEC" w:rsidP="00DF1432">
      <w:p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FFPE peripheral human lung samples from 15 donors (4 wild type “MM” COPD, 8 ZZ-AATD, 3 controls without chronic lung disease) underwent deparaffinization and rehydration followed by antigen retrieval with pH9 EDTA-Tween vector retrieval solution (microwave 20 minutes 30% power, let stand for 10 minutes). Slides were permeabilized with 5% normal goat serum + .25% Triton for 30 minutes, followed by blocking with 5% normal goat serum for 30 minutes. Primary antibodies were diluted in 5% normal goat serum at the following concentrations: AAT (Santa Cruz Biotechnology sc-59438) - 1:100, pro-SFTPC (Seven Hills WRAB-9337) - 1:500. Mouse monoclonal IgG (Santa Cruz Biotechnology sc-3877) and normal rabbit serum, respectively, were used as isotype controls. Primary antibodies incubated overnight at 4 C. Following primary antibody staining, slides were washed 5 times in .1% Triton diluted in PBS. Secondary antibodies -  goat anti-mouse IgG </w:t>
      </w:r>
      <w:proofErr w:type="spellStart"/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Fcγ</w:t>
      </w:r>
      <w:proofErr w:type="spellEnd"/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subclass 1 specific </w:t>
      </w:r>
      <w:proofErr w:type="spellStart"/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AlexaFluor</w:t>
      </w:r>
      <w:proofErr w:type="spellEnd"/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647 (Jackson </w:t>
      </w:r>
      <w:proofErr w:type="spellStart"/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Immunoresearch</w:t>
      </w:r>
      <w:proofErr w:type="spellEnd"/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115-605-205) and goat anti-rabbit IgG </w:t>
      </w:r>
      <w:proofErr w:type="spellStart"/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AlexaFluor</w:t>
      </w:r>
      <w:proofErr w:type="spellEnd"/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488 (Invitrogen A11034) -  were diluted in 1.25% normal goat serum at 1:1000 and incubated at room temperature protected from light for 1 hour. Following secondary antibody staining, slides were washed 5 times in .1% Triton diluted in PBS. Nuclei were stained with Hoechst (Invitrogen 33342) at 1:200 for 5 minutes, rinsed, and mounted using vibrance antifade mounting media (Vector Labs).  Images were taken at 20x magnification on the Nikon Eclipse Ni-E microscope (quantification) or at 60x magnification on the Leica SP5 confocal microscope (representative). </w:t>
      </w:r>
    </w:p>
    <w:p w14:paraId="1AEF5654" w14:textId="77777777" w:rsidR="00C36DEC" w:rsidRPr="00DF1432" w:rsidRDefault="00C36DEC" w:rsidP="00DF1432">
      <w:p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14:paraId="1D180071" w14:textId="393BCEF1" w:rsidR="00C36DEC" w:rsidRPr="00DF1432" w:rsidRDefault="00C36DEC" w:rsidP="00DF1432">
      <w:p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14:ligatures w14:val="none"/>
        </w:rPr>
      </w:pPr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14:ligatures w14:val="none"/>
        </w:rPr>
        <w:t>AAT and pro-SFTPC quantification</w:t>
      </w:r>
    </w:p>
    <w:p w14:paraId="3CD5B0B0" w14:textId="77777777" w:rsidR="00C36DEC" w:rsidRPr="00DF1432" w:rsidRDefault="00C36DEC" w:rsidP="00DF1432">
      <w:p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For each sample, 3 sections were analyzed. For each section, 3 5x5 mm images were quantified. Fields of view that met the criteria of &gt;100 AT2s present were randomly chosen. Co-localization, as determined by the presence of AAT within a pro-SFTPC positive AT2, was counted manually using FIJI. Results are expressed as the percentage of positive AT2s relative to the total number </w:t>
      </w:r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lastRenderedPageBreak/>
        <w:t>of AT2s examined. Percentages from each field of view were averaged to determine percent positive for each sample.  </w:t>
      </w:r>
    </w:p>
    <w:p w14:paraId="1839EE5B" w14:textId="77777777" w:rsidR="00C36DEC" w:rsidRPr="00DF1432" w:rsidRDefault="00C36DEC" w:rsidP="00DF1432">
      <w:p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14:paraId="6CE82E45" w14:textId="66B711FC" w:rsidR="00C36DEC" w:rsidRPr="00DF1432" w:rsidRDefault="00C36DEC" w:rsidP="00DF1432">
      <w:p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14:ligatures w14:val="none"/>
        </w:rPr>
      </w:pPr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14:ligatures w14:val="none"/>
        </w:rPr>
        <w:t>AAT and CD68 IF &amp; imaging</w:t>
      </w:r>
    </w:p>
    <w:p w14:paraId="25EF1690" w14:textId="2A508A43" w:rsidR="00C36DEC" w:rsidRPr="00DF1432" w:rsidRDefault="00C36DEC" w:rsidP="00DF1432">
      <w:p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FFPE peripheral human lung samples from</w:t>
      </w:r>
      <w:r w:rsidRPr="00DF1432"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  <w:t xml:space="preserve"> </w:t>
      </w:r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15 donors (4 wild type “MM” COPD, 8 ZZ-AATD, 3 controls without chronic lung disease) underwent deparaffinization and rehydration followed by antigen retrieval with pH9 EDTA-Tween vector retrieval solution (microwave 20 minutes 30% power, let stand for 10 minutes). Slides were washed with D-PBS twice for two minutes. Slides were then permeabilized for 30 minutes with 5% normal goat serum + 0.25% Triton, followed by blocking with 5% normal goat serum for an additional 30 minutes at around 500 </w:t>
      </w:r>
      <w:proofErr w:type="spellStart"/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uL</w:t>
      </w:r>
      <w:proofErr w:type="spellEnd"/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per slide. Primary antibodies AAT (Santa Cruz Biotechnology sc-59438) and CD68 (Abcam Ab213363) were diluted in 5% normal goat serum at a 1:100 concentration. Mouse monoclonal IgG (Santa Cruz Biotechnology sc-3877) and Rabbit monoclonal IgG (Abcam Ab172730), respectively, were used as isotype controls at 1:100 and 1:500 concentrations. Slides were incubated overnight at 4 C. The following day, slides were washed 4 times for 5 minutes in 0.1% Triton diluted in DPBS. Secondary antibodies, Goat anti-mouse IgG, subclass 1 specific AlexaFluor647 (Jackson </w:t>
      </w:r>
      <w:proofErr w:type="spellStart"/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Immunoresearch</w:t>
      </w:r>
      <w:proofErr w:type="spellEnd"/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115-605-205) and Goat anti-rabbit IgG, AlexaFluor488 (Invitrogen A11034) were diluted in 1.25% normal goat serum a 1:1000 concentration. Slides were incubated for 1 hour at room temperature and protected from light prior to a second round of washing with 0.1% Triton, 4 times for 5 minutes. Nuclei were stained with Hoechst (Invitrogen 33342) at 1:200 for 5 minutes, rinsed twice with ddH2O, mounted using vibrance antifade mounting media (Vector Labs), and stored at 4 C. Images were taken at 60x magnification on the Leica SP5 confocal microscope. </w:t>
      </w:r>
    </w:p>
    <w:p w14:paraId="33A6059E" w14:textId="77777777" w:rsidR="00C36DEC" w:rsidRPr="00DF1432" w:rsidRDefault="00C36DEC" w:rsidP="00DF1432">
      <w:p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14:paraId="7E9A8562" w14:textId="77777777" w:rsidR="00C36DEC" w:rsidRPr="00DF1432" w:rsidRDefault="00C36DEC" w:rsidP="00DF1432">
      <w:pPr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14:ligatures w14:val="none"/>
        </w:rPr>
      </w:pPr>
      <w:r w:rsidRPr="00DF1432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14:ligatures w14:val="none"/>
        </w:rPr>
        <w:t>Figure 2</w:t>
      </w:r>
    </w:p>
    <w:p w14:paraId="6068ACFA" w14:textId="77777777" w:rsidR="00C36DEC" w:rsidRPr="00DF1432" w:rsidRDefault="00C36DEC" w:rsidP="00DF1432">
      <w:pPr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</w:pPr>
    </w:p>
    <w:p w14:paraId="101A293F" w14:textId="6A65D9FD" w:rsidR="00C36DEC" w:rsidRPr="00DF1432" w:rsidRDefault="00C36DEC" w:rsidP="00DF1432">
      <w:pPr>
        <w:jc w:val="both"/>
        <w:textAlignment w:val="baseline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14:ligatures w14:val="none"/>
        </w:rPr>
      </w:pPr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14:ligatures w14:val="none"/>
        </w:rPr>
        <w:t>Cleaved caspase 3 (+/- caspase 4) IF </w:t>
      </w:r>
    </w:p>
    <w:p w14:paraId="056712D1" w14:textId="77777777" w:rsidR="00C36DEC" w:rsidRPr="00DF1432" w:rsidRDefault="00C36DEC" w:rsidP="00DF1432">
      <w:p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FFPE peripheral human lung samples from</w:t>
      </w:r>
      <w:r w:rsidRPr="00DF1432">
        <w:rPr>
          <w:rFonts w:ascii="Arial" w:eastAsia="Times New Roman" w:hAnsi="Arial" w:cs="Arial"/>
          <w:color w:val="FF0000"/>
          <w:kern w:val="0"/>
          <w:sz w:val="22"/>
          <w:szCs w:val="22"/>
          <w14:ligatures w14:val="none"/>
        </w:rPr>
        <w:t xml:space="preserve"> </w:t>
      </w:r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9 donors (3 wild type “MM” COPD, 3 ZZ-AATD, 3 controls without chronic lung disease) underwent deparaffinization and rehydration followed by antigen retrieval with pH9 EDTA-Tween vector retrieval solution (microwave 20 minutes 30% power, let stand for 10 minutes). Slides were washed with D-PBS twice for two minutes. Slides were then permeabilized for 30 minutes with 5% normal donkey serum + 0.25% Triton, followed by blocking with 5% normal donkey serum for an additional 30 minutes at around 500 </w:t>
      </w:r>
      <w:proofErr w:type="spellStart"/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uL</w:t>
      </w:r>
      <w:proofErr w:type="spellEnd"/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per slide. Primary antibodies anti-caspase 3 active (Sigma C8487) and pro-SFTPC (Santa Cruz sc-518029)  were diluted in 5% normal donkey serum at a 1:100 and 1:500 concentration, respectively Secondary only sections were used as controls. Slides were incubated overnight at 4 C. The following day, slides were washed 4 times for 5 minutes in 0.1% Triton diluted in DPBS. Secondary antibodies, donkey anti-mouse IgG AlexaFluor488 (Invitrogen A21202) and donkey anti-rabbit IgG, AlexaFluor647 (Invitrogen A32795) were diluted in 1.25% normal donkey serum a 1:1000 concentration. Slides were incubated for 1 hour at room temperature and protected from light prior to a second round of washing with 0.1% Triton, 4 times for 5 minutes. Nuclei were stained with Hoechst (Invitrogen 33342) at 1:200 for 5 minutes, rinsed twice with ddH2O, mounted using vibrance antifade mounting media (Vector Labs), and stored at 4 C. Images were taken at 20x magnification on the Nikon Eclipse Ni-E microscope. </w:t>
      </w:r>
    </w:p>
    <w:p w14:paraId="45D02272" w14:textId="77777777" w:rsidR="00C36DEC" w:rsidRPr="00DF1432" w:rsidRDefault="00C36DEC" w:rsidP="00DF1432">
      <w:p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14:paraId="6CD27071" w14:textId="5E498715" w:rsidR="00C36DEC" w:rsidRPr="00DF1432" w:rsidRDefault="00C36DEC" w:rsidP="00DF1432">
      <w:p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14:ligatures w14:val="none"/>
        </w:rPr>
      </w:pPr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  <w14:ligatures w14:val="none"/>
        </w:rPr>
        <w:t>Cleaved caspase 3 (+/- caspase 4) quantification</w:t>
      </w:r>
    </w:p>
    <w:p w14:paraId="0FE2B4DD" w14:textId="4BEB47F4" w:rsidR="00C36DEC" w:rsidRPr="00DF1432" w:rsidRDefault="00C36DEC" w:rsidP="00DF1432">
      <w:pPr>
        <w:jc w:val="both"/>
        <w:textAlignment w:val="baseline"/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  <w:r w:rsidRPr="00DF1432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For each sample,1 section was analyzed. For each section, 10 single field-of-view images were quantified. Fields of view that met the criteria of &gt;25 AT2s present were randomly chosen. Co-localization, as determined by the presence of CASP3 within a pro-SFTPC positive AT2, was counted manually using FIJI. Results are expressed as the percentage of positive AT2s relative to the total number of AT2s examined. </w:t>
      </w:r>
    </w:p>
    <w:p w14:paraId="71C8F176" w14:textId="0741358A" w:rsidR="00C36DEC" w:rsidRPr="00DF1432" w:rsidRDefault="00C36DEC" w:rsidP="00DF1432">
      <w:p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u w:val="single"/>
          <w14:ligatures w14:val="none"/>
        </w:rPr>
      </w:pPr>
      <w:r w:rsidRPr="00DF1432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14:ligatures w14:val="none"/>
        </w:rPr>
        <w:lastRenderedPageBreak/>
        <w:t>Tissue Samples</w:t>
      </w:r>
    </w:p>
    <w:p w14:paraId="29E13C01" w14:textId="664D2856" w:rsidR="00C36DEC" w:rsidRPr="00DF1432" w:rsidRDefault="00DF1432" w:rsidP="00DF1432">
      <w:pPr>
        <w:jc w:val="both"/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  <w:r w:rsidRPr="00DF1432">
        <w:rPr>
          <w:rFonts w:ascii="Arial" w:hAnsi="Arial" w:cs="Arial"/>
          <w:noProof/>
          <w:color w:val="4472C4" w:themeColor="accent1"/>
          <w:sz w:val="22"/>
          <w:szCs w:val="22"/>
          <w:shd w:val="clear" w:color="auto" w:fill="FFFFFF"/>
        </w:rPr>
        <w:drawing>
          <wp:inline distT="0" distB="0" distL="0" distR="0" wp14:anchorId="39114981" wp14:editId="2FDCDD93">
            <wp:extent cx="6090699" cy="3509310"/>
            <wp:effectExtent l="0" t="0" r="5715" b="0"/>
            <wp:docPr id="360555451" name="Picture 1" descr="A table of inform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55451" name="Picture 1" descr="A table of informati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342" cy="355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FB926" w14:textId="77777777" w:rsidR="00622C3A" w:rsidRPr="00DF1432" w:rsidRDefault="00622C3A" w:rsidP="00DF1432">
      <w:pPr>
        <w:jc w:val="both"/>
        <w:rPr>
          <w:rFonts w:ascii="Arial" w:hAnsi="Arial" w:cs="Arial"/>
          <w:sz w:val="22"/>
          <w:szCs w:val="22"/>
        </w:rPr>
      </w:pPr>
    </w:p>
    <w:sectPr w:rsidR="00622C3A" w:rsidRPr="00DF1432" w:rsidSect="0092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5EF5"/>
    <w:multiLevelType w:val="hybridMultilevel"/>
    <w:tmpl w:val="3F0E87FE"/>
    <w:lvl w:ilvl="0" w:tplc="947E28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4EB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96A6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BC5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4AE9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A4E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BC5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EE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36E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71659"/>
    <w:multiLevelType w:val="hybridMultilevel"/>
    <w:tmpl w:val="1FD699E4"/>
    <w:lvl w:ilvl="0" w:tplc="3F866C5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51AB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04E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8B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EB7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1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4D8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68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E8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797E13"/>
    <w:multiLevelType w:val="multilevel"/>
    <w:tmpl w:val="DB841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50565C"/>
    <w:multiLevelType w:val="hybridMultilevel"/>
    <w:tmpl w:val="BA7A94BC"/>
    <w:lvl w:ilvl="0" w:tplc="5754B89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F8AD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60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28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62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3A75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88C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07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4F0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B4817"/>
    <w:multiLevelType w:val="multilevel"/>
    <w:tmpl w:val="C62C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2769D7"/>
    <w:multiLevelType w:val="hybridMultilevel"/>
    <w:tmpl w:val="3048BC56"/>
    <w:lvl w:ilvl="0" w:tplc="A4C471B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1406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EE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F86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E9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66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467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4E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EB2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AF4F95"/>
    <w:multiLevelType w:val="multilevel"/>
    <w:tmpl w:val="74C672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DC56C2"/>
    <w:multiLevelType w:val="hybridMultilevel"/>
    <w:tmpl w:val="1056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E1F20"/>
    <w:multiLevelType w:val="hybridMultilevel"/>
    <w:tmpl w:val="7E109514"/>
    <w:lvl w:ilvl="0" w:tplc="8BB8810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4E1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67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C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EF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88C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A07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0C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8CE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2136748">
    <w:abstractNumId w:val="4"/>
  </w:num>
  <w:num w:numId="2" w16cid:durableId="1735470409">
    <w:abstractNumId w:val="4"/>
    <w:lvlOverride w:ilvl="1">
      <w:lvl w:ilvl="1">
        <w:numFmt w:val="lowerLetter"/>
        <w:lvlText w:val="%2."/>
        <w:lvlJc w:val="left"/>
      </w:lvl>
    </w:lvlOverride>
  </w:num>
  <w:num w:numId="3" w16cid:durableId="469634813">
    <w:abstractNumId w:val="4"/>
    <w:lvlOverride w:ilvl="2">
      <w:lvl w:ilvl="2">
        <w:numFmt w:val="lowerRoman"/>
        <w:lvlText w:val="%3."/>
        <w:lvlJc w:val="right"/>
      </w:lvl>
    </w:lvlOverride>
  </w:num>
  <w:num w:numId="4" w16cid:durableId="656808685">
    <w:abstractNumId w:val="4"/>
    <w:lvlOverride w:ilvl="1">
      <w:lvl w:ilvl="1">
        <w:numFmt w:val="lowerLetter"/>
        <w:lvlText w:val="%2."/>
        <w:lvlJc w:val="left"/>
      </w:lvl>
    </w:lvlOverride>
  </w:num>
  <w:num w:numId="5" w16cid:durableId="905453282">
    <w:abstractNumId w:val="4"/>
    <w:lvlOverride w:ilvl="2">
      <w:lvl w:ilvl="2">
        <w:numFmt w:val="lowerRoman"/>
        <w:lvlText w:val="%3."/>
        <w:lvlJc w:val="right"/>
      </w:lvl>
    </w:lvlOverride>
  </w:num>
  <w:num w:numId="6" w16cid:durableId="222133700">
    <w:abstractNumId w:val="1"/>
  </w:num>
  <w:num w:numId="7" w16cid:durableId="1281186453">
    <w:abstractNumId w:val="0"/>
  </w:num>
  <w:num w:numId="8" w16cid:durableId="19866212">
    <w:abstractNumId w:val="5"/>
  </w:num>
  <w:num w:numId="9" w16cid:durableId="419834737">
    <w:abstractNumId w:val="6"/>
    <w:lvlOverride w:ilvl="1">
      <w:lvl w:ilvl="1">
        <w:numFmt w:val="lowerRoman"/>
        <w:lvlText w:val="%2."/>
        <w:lvlJc w:val="right"/>
      </w:lvl>
    </w:lvlOverride>
  </w:num>
  <w:num w:numId="10" w16cid:durableId="976029686">
    <w:abstractNumId w:val="3"/>
  </w:num>
  <w:num w:numId="11" w16cid:durableId="1868564642">
    <w:abstractNumId w:val="6"/>
    <w:lvlOverride w:ilvl="1">
      <w:lvl w:ilvl="1">
        <w:numFmt w:val="lowerRoman"/>
        <w:lvlText w:val="%2."/>
        <w:lvlJc w:val="right"/>
      </w:lvl>
    </w:lvlOverride>
  </w:num>
  <w:num w:numId="12" w16cid:durableId="1535531924">
    <w:abstractNumId w:val="8"/>
  </w:num>
  <w:num w:numId="13" w16cid:durableId="416094927">
    <w:abstractNumId w:val="6"/>
    <w:lvlOverride w:ilvl="1">
      <w:lvl w:ilvl="1">
        <w:numFmt w:val="lowerRoman"/>
        <w:lvlText w:val="%2."/>
        <w:lvlJc w:val="right"/>
      </w:lvl>
    </w:lvlOverride>
  </w:num>
  <w:num w:numId="14" w16cid:durableId="1779907470">
    <w:abstractNumId w:val="6"/>
    <w:lvlOverride w:ilvl="1">
      <w:lvl w:ilvl="1">
        <w:numFmt w:val="lowerRoman"/>
        <w:lvlText w:val="%2."/>
        <w:lvlJc w:val="right"/>
      </w:lvl>
    </w:lvlOverride>
  </w:num>
  <w:num w:numId="15" w16cid:durableId="802889330">
    <w:abstractNumId w:val="2"/>
    <w:lvlOverride w:ilvl="0">
      <w:lvl w:ilvl="0">
        <w:numFmt w:val="decimal"/>
        <w:lvlText w:val="%1."/>
        <w:lvlJc w:val="left"/>
      </w:lvl>
    </w:lvlOverride>
  </w:num>
  <w:num w:numId="16" w16cid:durableId="2113240536">
    <w:abstractNumId w:val="2"/>
    <w:lvlOverride w:ilvl="1">
      <w:lvl w:ilvl="1">
        <w:numFmt w:val="lowerLetter"/>
        <w:lvlText w:val="%2."/>
        <w:lvlJc w:val="left"/>
      </w:lvl>
    </w:lvlOverride>
  </w:num>
  <w:num w:numId="17" w16cid:durableId="1692490075">
    <w:abstractNumId w:val="2"/>
    <w:lvlOverride w:ilvl="1">
      <w:lvl w:ilvl="1">
        <w:numFmt w:val="lowerLetter"/>
        <w:lvlText w:val="%2."/>
        <w:lvlJc w:val="left"/>
      </w:lvl>
    </w:lvlOverride>
  </w:num>
  <w:num w:numId="18" w16cid:durableId="1752924033">
    <w:abstractNumId w:val="2"/>
    <w:lvlOverride w:ilvl="1">
      <w:lvl w:ilvl="1">
        <w:numFmt w:val="lowerLetter"/>
        <w:lvlText w:val="%2."/>
        <w:lvlJc w:val="left"/>
      </w:lvl>
    </w:lvlOverride>
  </w:num>
  <w:num w:numId="19" w16cid:durableId="284775340">
    <w:abstractNumId w:val="2"/>
    <w:lvlOverride w:ilvl="1">
      <w:lvl w:ilvl="1">
        <w:numFmt w:val="lowerLetter"/>
        <w:lvlText w:val="%2."/>
        <w:lvlJc w:val="left"/>
      </w:lvl>
    </w:lvlOverride>
  </w:num>
  <w:num w:numId="20" w16cid:durableId="1778063840">
    <w:abstractNumId w:val="2"/>
    <w:lvlOverride w:ilvl="1">
      <w:lvl w:ilvl="1">
        <w:numFmt w:val="lowerLetter"/>
        <w:lvlText w:val="%2."/>
        <w:lvlJc w:val="left"/>
      </w:lvl>
    </w:lvlOverride>
  </w:num>
  <w:num w:numId="21" w16cid:durableId="1694333765">
    <w:abstractNumId w:val="2"/>
    <w:lvlOverride w:ilvl="1">
      <w:lvl w:ilvl="1">
        <w:numFmt w:val="lowerLetter"/>
        <w:lvlText w:val="%2."/>
        <w:lvlJc w:val="left"/>
      </w:lvl>
    </w:lvlOverride>
  </w:num>
  <w:num w:numId="22" w16cid:durableId="386145777">
    <w:abstractNumId w:val="2"/>
    <w:lvlOverride w:ilvl="1">
      <w:lvl w:ilvl="1">
        <w:numFmt w:val="lowerLetter"/>
        <w:lvlText w:val="%2."/>
        <w:lvlJc w:val="left"/>
      </w:lvl>
    </w:lvlOverride>
  </w:num>
  <w:num w:numId="23" w16cid:durableId="2040350741">
    <w:abstractNumId w:val="2"/>
    <w:lvlOverride w:ilvl="1">
      <w:lvl w:ilvl="1">
        <w:numFmt w:val="lowerLetter"/>
        <w:lvlText w:val="%2."/>
        <w:lvlJc w:val="left"/>
      </w:lvl>
    </w:lvlOverride>
  </w:num>
  <w:num w:numId="24" w16cid:durableId="1458137196">
    <w:abstractNumId w:val="2"/>
    <w:lvlOverride w:ilvl="1">
      <w:lvl w:ilvl="1">
        <w:numFmt w:val="lowerLetter"/>
        <w:lvlText w:val="%2."/>
        <w:lvlJc w:val="left"/>
      </w:lvl>
    </w:lvlOverride>
  </w:num>
  <w:num w:numId="25" w16cid:durableId="1151600373">
    <w:abstractNumId w:val="2"/>
    <w:lvlOverride w:ilvl="1">
      <w:lvl w:ilvl="1">
        <w:numFmt w:val="lowerLetter"/>
        <w:lvlText w:val="%2."/>
        <w:lvlJc w:val="left"/>
      </w:lvl>
    </w:lvlOverride>
  </w:num>
  <w:num w:numId="26" w16cid:durableId="1219127312">
    <w:abstractNumId w:val="2"/>
    <w:lvlOverride w:ilvl="1">
      <w:lvl w:ilvl="1">
        <w:numFmt w:val="lowerLetter"/>
        <w:lvlText w:val="%2."/>
        <w:lvlJc w:val="left"/>
      </w:lvl>
    </w:lvlOverride>
  </w:num>
  <w:num w:numId="27" w16cid:durableId="746459331">
    <w:abstractNumId w:val="2"/>
    <w:lvlOverride w:ilvl="1">
      <w:lvl w:ilvl="1">
        <w:numFmt w:val="lowerLetter"/>
        <w:lvlText w:val="%2."/>
        <w:lvlJc w:val="left"/>
      </w:lvl>
    </w:lvlOverride>
  </w:num>
  <w:num w:numId="28" w16cid:durableId="341319947">
    <w:abstractNumId w:val="2"/>
    <w:lvlOverride w:ilvl="2">
      <w:lvl w:ilvl="2">
        <w:numFmt w:val="lowerRoman"/>
        <w:lvlText w:val="%3."/>
        <w:lvlJc w:val="right"/>
      </w:lvl>
    </w:lvlOverride>
  </w:num>
  <w:num w:numId="29" w16cid:durableId="231160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EC"/>
    <w:rsid w:val="000570A4"/>
    <w:rsid w:val="000D4A88"/>
    <w:rsid w:val="00191D16"/>
    <w:rsid w:val="00194E5D"/>
    <w:rsid w:val="00201A8F"/>
    <w:rsid w:val="00231F1C"/>
    <w:rsid w:val="002A6468"/>
    <w:rsid w:val="003039ED"/>
    <w:rsid w:val="003F745B"/>
    <w:rsid w:val="004335A7"/>
    <w:rsid w:val="00433FE2"/>
    <w:rsid w:val="004C66FD"/>
    <w:rsid w:val="005978DF"/>
    <w:rsid w:val="005C2601"/>
    <w:rsid w:val="00622C3A"/>
    <w:rsid w:val="006834E9"/>
    <w:rsid w:val="00686569"/>
    <w:rsid w:val="00760010"/>
    <w:rsid w:val="0078428D"/>
    <w:rsid w:val="00785E65"/>
    <w:rsid w:val="007C4D94"/>
    <w:rsid w:val="007E0CE1"/>
    <w:rsid w:val="008132C2"/>
    <w:rsid w:val="0084776C"/>
    <w:rsid w:val="00872B0E"/>
    <w:rsid w:val="008C0D6A"/>
    <w:rsid w:val="008D0127"/>
    <w:rsid w:val="00927742"/>
    <w:rsid w:val="009A3294"/>
    <w:rsid w:val="009D6C9B"/>
    <w:rsid w:val="009F4365"/>
    <w:rsid w:val="00A03584"/>
    <w:rsid w:val="00A91DDB"/>
    <w:rsid w:val="00AB17F1"/>
    <w:rsid w:val="00B62EA4"/>
    <w:rsid w:val="00C36DEC"/>
    <w:rsid w:val="00C531FD"/>
    <w:rsid w:val="00C90858"/>
    <w:rsid w:val="00D72813"/>
    <w:rsid w:val="00D8767F"/>
    <w:rsid w:val="00DA5758"/>
    <w:rsid w:val="00DF1432"/>
    <w:rsid w:val="00E62B77"/>
    <w:rsid w:val="00EB4DFD"/>
    <w:rsid w:val="00ED6608"/>
    <w:rsid w:val="00F022AA"/>
    <w:rsid w:val="00F0737A"/>
    <w:rsid w:val="00F3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F5F69"/>
  <w15:chartTrackingRefBased/>
  <w15:docId w15:val="{251ACDFA-3094-1D48-A491-654ED437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36DE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36DE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C3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Merritt, Carly</dc:creator>
  <cp:keywords/>
  <dc:description/>
  <cp:lastModifiedBy>Merritt, Carly</cp:lastModifiedBy>
  <cp:revision>2</cp:revision>
  <dcterms:created xsi:type="dcterms:W3CDTF">2023-12-22T19:14:00Z</dcterms:created>
  <dcterms:modified xsi:type="dcterms:W3CDTF">2023-12-29T15:21:00Z</dcterms:modified>
</cp:coreProperties>
</file>