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459F" w14:textId="77777777" w:rsidR="0040623E" w:rsidRPr="00A17968" w:rsidRDefault="0040623E" w:rsidP="0040623E">
      <w:pPr>
        <w:jc w:val="center"/>
        <w:rPr>
          <w:b/>
          <w:bCs/>
          <w:sz w:val="24"/>
          <w:szCs w:val="24"/>
        </w:rPr>
      </w:pPr>
      <w:r w:rsidRPr="00A17968">
        <w:rPr>
          <w:b/>
          <w:bCs/>
          <w:sz w:val="24"/>
          <w:szCs w:val="24"/>
        </w:rPr>
        <w:t xml:space="preserve">CDS DS 795 – Urban </w:t>
      </w:r>
      <w:proofErr w:type="spellStart"/>
      <w:r w:rsidRPr="00A17968">
        <w:rPr>
          <w:b/>
          <w:bCs/>
          <w:sz w:val="24"/>
          <w:szCs w:val="24"/>
        </w:rPr>
        <w:t>Biogeoscience</w:t>
      </w:r>
      <w:proofErr w:type="spellEnd"/>
      <w:r w:rsidRPr="00A17968">
        <w:rPr>
          <w:b/>
          <w:bCs/>
          <w:sz w:val="24"/>
          <w:szCs w:val="24"/>
        </w:rPr>
        <w:t xml:space="preserve"> and Environmental Health: From Research to Policy</w:t>
      </w:r>
    </w:p>
    <w:p w14:paraId="3D49A92C" w14:textId="77777777" w:rsidR="0040623E" w:rsidRDefault="0040623E" w:rsidP="0040623E"/>
    <w:p w14:paraId="4DEBD09B" w14:textId="77777777" w:rsidR="0040623E" w:rsidRDefault="0040623E" w:rsidP="0040623E">
      <w:pPr>
        <w:rPr>
          <w:b/>
          <w:bCs/>
        </w:rPr>
      </w:pPr>
    </w:p>
    <w:p w14:paraId="6AAE990E" w14:textId="77777777" w:rsidR="0040623E" w:rsidRPr="007F350E" w:rsidRDefault="0040623E" w:rsidP="0040623E">
      <w:pPr>
        <w:rPr>
          <w:b/>
          <w:bCs/>
        </w:rPr>
      </w:pPr>
      <w:r w:rsidRPr="007F350E">
        <w:rPr>
          <w:b/>
          <w:bCs/>
        </w:rPr>
        <w:t>Course instructor</w:t>
      </w:r>
    </w:p>
    <w:p w14:paraId="4732AA9E" w14:textId="77777777" w:rsidR="0040623E" w:rsidRDefault="0040623E" w:rsidP="0040623E">
      <w:r>
        <w:t>Emily Walton</w:t>
      </w:r>
    </w:p>
    <w:p w14:paraId="7DC844E3" w14:textId="77777777" w:rsidR="0040623E" w:rsidRDefault="0040623E" w:rsidP="0040623E">
      <w:hyperlink r:id="rId5" w:history="1">
        <w:r w:rsidRPr="00042F46">
          <w:rPr>
            <w:rStyle w:val="Hyperlink"/>
          </w:rPr>
          <w:t>urban@bu.edu</w:t>
        </w:r>
      </w:hyperlink>
      <w:r>
        <w:tab/>
        <w:t>; 617-517-6191 (texting is fine)</w:t>
      </w:r>
    </w:p>
    <w:p w14:paraId="0707C256" w14:textId="77777777" w:rsidR="0040623E" w:rsidRDefault="0040623E" w:rsidP="0040623E">
      <w:r>
        <w:t>5 Cummington Mall, 417</w:t>
      </w:r>
    </w:p>
    <w:p w14:paraId="2B2C4CCF" w14:textId="2E71EF3E" w:rsidR="004F0C84" w:rsidRDefault="0040623E" w:rsidP="0040623E">
      <w:r>
        <w:t xml:space="preserve">Office hours </w:t>
      </w:r>
      <w:r w:rsidR="004F0C84">
        <w:t xml:space="preserve">Mondays 10:30-11:30am on zoom: </w:t>
      </w:r>
      <w:hyperlink r:id="rId6" w:tooltip="https://bostonu.zoom.us/j/8543849902" w:history="1">
        <w:r w:rsidR="004F0C84" w:rsidRPr="004F0C84">
          <w:rPr>
            <w:rStyle w:val="Hyperlink"/>
          </w:rPr>
          <w:t>https://bostonu.zoom.us/j/8543849902</w:t>
        </w:r>
      </w:hyperlink>
    </w:p>
    <w:p w14:paraId="4FB7191C" w14:textId="3A8C2B9D" w:rsidR="0040623E" w:rsidRDefault="004F0C84" w:rsidP="0040623E">
      <w:r>
        <w:t xml:space="preserve">And </w:t>
      </w:r>
      <w:r w:rsidR="0040623E">
        <w:t xml:space="preserve">by appointment: </w:t>
      </w:r>
      <w:hyperlink r:id="rId7" w:history="1">
        <w:r w:rsidR="0040623E" w:rsidRPr="00042F46">
          <w:rPr>
            <w:rStyle w:val="Hyperlink"/>
          </w:rPr>
          <w:t>https://calendly.com/ewalton-urban/</w:t>
        </w:r>
      </w:hyperlink>
    </w:p>
    <w:p w14:paraId="3E4B2608" w14:textId="77777777" w:rsidR="0040623E" w:rsidRDefault="0040623E" w:rsidP="0040623E"/>
    <w:p w14:paraId="75E1363E" w14:textId="77777777" w:rsidR="0040623E" w:rsidRPr="007F350E" w:rsidRDefault="0040623E" w:rsidP="0040623E">
      <w:pPr>
        <w:rPr>
          <w:b/>
          <w:bCs/>
        </w:rPr>
      </w:pPr>
      <w:r w:rsidRPr="007F350E">
        <w:rPr>
          <w:b/>
          <w:bCs/>
        </w:rPr>
        <w:t>Course description</w:t>
      </w:r>
    </w:p>
    <w:p w14:paraId="174809EA" w14:textId="77777777" w:rsidR="00867F10" w:rsidRDefault="00867F10" w:rsidP="00867F10">
      <w:r>
        <w:t>This course prepares graduate students to address urban environmental challenges through hands-on training in a semester-long internship with the government, non-governmental organizations (NGOs), and/or the private sector to learn how cities are tackling environmental challenges, including but not limited to mitigation and adaptation to climate change, protecting vulnerable populations from environmental stressors, and forming or adopting relevant policies and strategies.</w:t>
      </w:r>
    </w:p>
    <w:p w14:paraId="41B104FD" w14:textId="77777777" w:rsidR="00867F10" w:rsidRDefault="00867F10" w:rsidP="00867F10"/>
    <w:p w14:paraId="3F19337B" w14:textId="77777777" w:rsidR="00867F10" w:rsidRDefault="00867F10" w:rsidP="00867F10">
      <w:r>
        <w:t xml:space="preserve">This course is designed to enable students to report on their internship progress and receive feedback on their work.  In addition, students participate in exercises and discussions that cover communication and professional development skills.  Students will create several shareable products throughout this course as outlined below.  </w:t>
      </w:r>
    </w:p>
    <w:p w14:paraId="44D8B9CB" w14:textId="77777777" w:rsidR="00867F10" w:rsidRDefault="00867F10" w:rsidP="00867F10"/>
    <w:p w14:paraId="495C7EDB" w14:textId="3EA4343D" w:rsidR="00867F10" w:rsidRDefault="00867F10" w:rsidP="00867F10">
      <w:r>
        <w:t>GRS students are expected to spend a minimum of 6 hours/week in their internships to earn 2 course credits, or at least 12 hours/week to earn 4 course credits.  SPH students may need to take the course as a 1-credit independent study (961) or count it as a research rotation, depending on when in their PhD progression they register.</w:t>
      </w:r>
    </w:p>
    <w:p w14:paraId="67D310EA" w14:textId="77777777" w:rsidR="00867F10" w:rsidRDefault="00867F10" w:rsidP="00867F10"/>
    <w:p w14:paraId="51E0E57A" w14:textId="77777777" w:rsidR="00903166" w:rsidRPr="00304127" w:rsidRDefault="00903166" w:rsidP="00903166">
      <w:pPr>
        <w:rPr>
          <w:b/>
          <w:bCs/>
        </w:rPr>
      </w:pPr>
      <w:r w:rsidRPr="00304127">
        <w:rPr>
          <w:b/>
          <w:bCs/>
        </w:rPr>
        <w:t>Course objectives</w:t>
      </w:r>
    </w:p>
    <w:p w14:paraId="3BD06571" w14:textId="77777777" w:rsidR="00903166" w:rsidRDefault="00903166" w:rsidP="00903166">
      <w:r>
        <w:t>Upon completion of this course, students will be able to:</w:t>
      </w:r>
    </w:p>
    <w:p w14:paraId="44D07E03" w14:textId="445BD9C7" w:rsidR="00903166" w:rsidRDefault="00903166" w:rsidP="00903166">
      <w:pPr>
        <w:pStyle w:val="ListParagraph"/>
        <w:numPr>
          <w:ilvl w:val="0"/>
          <w:numId w:val="1"/>
        </w:numPr>
      </w:pPr>
      <w:r>
        <w:t xml:space="preserve">Communicate scientific information tailored to the needs of governments, NGOs, the private sector, and the </w:t>
      </w:r>
      <w:proofErr w:type="gramStart"/>
      <w:r>
        <w:t>general public</w:t>
      </w:r>
      <w:proofErr w:type="gramEnd"/>
      <w:r>
        <w:t xml:space="preserve"> </w:t>
      </w:r>
      <w:proofErr w:type="gramStart"/>
      <w:r>
        <w:t>in order to</w:t>
      </w:r>
      <w:proofErr w:type="gramEnd"/>
      <w:r>
        <w:t xml:space="preserve"> advance the internship organization’s efforts to tackle urban environmental challenges, as well as to support the student’s professional growth and opportunities.</w:t>
      </w:r>
    </w:p>
    <w:p w14:paraId="0D7F0A64" w14:textId="77777777" w:rsidR="00903166" w:rsidRDefault="00903166" w:rsidP="00903166">
      <w:pPr>
        <w:pStyle w:val="ListParagraph"/>
        <w:numPr>
          <w:ilvl w:val="0"/>
          <w:numId w:val="1"/>
        </w:numPr>
      </w:pPr>
      <w:r>
        <w:t>Navigate professional settings more effectively through discussions with peers and instructor that pertain to topics such as networking, project management, and proactive communication.</w:t>
      </w:r>
    </w:p>
    <w:p w14:paraId="652B6B34" w14:textId="26BD9D72" w:rsidR="00867F10" w:rsidRDefault="00867F10" w:rsidP="00867F10"/>
    <w:p w14:paraId="0DCF1507" w14:textId="77777777" w:rsidR="00903166" w:rsidRDefault="00903166" w:rsidP="00903166">
      <w:pPr>
        <w:rPr>
          <w:b/>
          <w:bCs/>
        </w:rPr>
      </w:pPr>
    </w:p>
    <w:tbl>
      <w:tblPr>
        <w:tblStyle w:val="ListTable3"/>
        <w:tblpPr w:leftFromText="180" w:rightFromText="180" w:vertAnchor="text" w:horzAnchor="page" w:tblpX="7219" w:tblpY="-80"/>
        <w:tblOverlap w:val="never"/>
        <w:tblW w:w="0" w:type="auto"/>
        <w:tblLayout w:type="fixed"/>
        <w:tblLook w:val="01E0" w:firstRow="1" w:lastRow="1" w:firstColumn="1" w:lastColumn="1" w:noHBand="0" w:noVBand="0"/>
      </w:tblPr>
      <w:tblGrid>
        <w:gridCol w:w="1942"/>
        <w:gridCol w:w="1466"/>
      </w:tblGrid>
      <w:tr w:rsidR="00903166" w:rsidRPr="00135240" w14:paraId="76DA93E7" w14:textId="77777777" w:rsidTr="00903166">
        <w:trPr>
          <w:cnfStyle w:val="100000000000" w:firstRow="1" w:lastRow="0" w:firstColumn="0" w:lastColumn="0" w:oddVBand="0" w:evenVBand="0" w:oddHBand="0" w:evenHBand="0" w:firstRowFirstColumn="0" w:firstRowLastColumn="0" w:lastRowFirstColumn="0" w:lastRowLastColumn="0"/>
          <w:trHeight w:hRule="exact" w:val="293"/>
        </w:trPr>
        <w:tc>
          <w:tcPr>
            <w:cnfStyle w:val="001000000100" w:firstRow="0" w:lastRow="0" w:firstColumn="1" w:lastColumn="0" w:oddVBand="0" w:evenVBand="0" w:oddHBand="0" w:evenHBand="0" w:firstRowFirstColumn="1" w:firstRowLastColumn="0" w:lastRowFirstColumn="0" w:lastRowLastColumn="0"/>
            <w:tcW w:w="1942" w:type="dxa"/>
          </w:tcPr>
          <w:p w14:paraId="77FA023C" w14:textId="77777777" w:rsidR="00903166" w:rsidRPr="00135240" w:rsidRDefault="00903166" w:rsidP="00903166">
            <w:pPr>
              <w:pStyle w:val="TableParagraph"/>
              <w:spacing w:before="0"/>
              <w:rPr>
                <w:rFonts w:asciiTheme="minorHAnsi" w:hAnsiTheme="minorHAnsi"/>
                <w:b w:val="0"/>
              </w:rPr>
            </w:pPr>
            <w:r w:rsidRPr="00135240">
              <w:rPr>
                <w:rFonts w:asciiTheme="minorHAnsi" w:hAnsiTheme="minorHAnsi"/>
                <w:b w:val="0"/>
              </w:rPr>
              <w:t>Course Average</w:t>
            </w:r>
          </w:p>
        </w:tc>
        <w:tc>
          <w:tcPr>
            <w:cnfStyle w:val="000100001000" w:firstRow="0" w:lastRow="0" w:firstColumn="0" w:lastColumn="1" w:oddVBand="0" w:evenVBand="0" w:oddHBand="0" w:evenHBand="0" w:firstRowFirstColumn="0" w:firstRowLastColumn="1" w:lastRowFirstColumn="0" w:lastRowLastColumn="0"/>
            <w:tcW w:w="1466" w:type="dxa"/>
          </w:tcPr>
          <w:p w14:paraId="4D349F92" w14:textId="77777777" w:rsidR="00903166" w:rsidRPr="00135240" w:rsidRDefault="00903166" w:rsidP="00903166">
            <w:pPr>
              <w:pStyle w:val="TableParagraph"/>
              <w:spacing w:before="0"/>
              <w:ind w:left="108"/>
              <w:rPr>
                <w:rFonts w:asciiTheme="minorHAnsi" w:hAnsiTheme="minorHAnsi"/>
                <w:b w:val="0"/>
              </w:rPr>
            </w:pPr>
            <w:r w:rsidRPr="00135240">
              <w:rPr>
                <w:rFonts w:asciiTheme="minorHAnsi" w:hAnsiTheme="minorHAnsi"/>
                <w:b w:val="0"/>
              </w:rPr>
              <w:t>Final Grade</w:t>
            </w:r>
          </w:p>
        </w:tc>
      </w:tr>
      <w:tr w:rsidR="00903166" w:rsidRPr="00135240" w14:paraId="70E0949B" w14:textId="77777777" w:rsidTr="00903166">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942" w:type="dxa"/>
          </w:tcPr>
          <w:p w14:paraId="3A690C64"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94</w:t>
            </w:r>
            <w:r w:rsidRPr="00135240">
              <w:rPr>
                <w:rFonts w:ascii="Cambria Math" w:hAnsi="Cambria Math" w:cs="Cambria Math"/>
                <w:color w:val="000000" w:themeColor="text1"/>
              </w:rPr>
              <w:t>‐</w:t>
            </w:r>
            <w:r w:rsidRPr="00135240">
              <w:rPr>
                <w:rFonts w:asciiTheme="minorHAnsi" w:hAnsiTheme="minorHAnsi"/>
                <w:color w:val="000000" w:themeColor="text1"/>
              </w:rPr>
              <w:t>100</w:t>
            </w:r>
          </w:p>
        </w:tc>
        <w:tc>
          <w:tcPr>
            <w:cnfStyle w:val="000100000000" w:firstRow="0" w:lastRow="0" w:firstColumn="0" w:lastColumn="1" w:oddVBand="0" w:evenVBand="0" w:oddHBand="0" w:evenHBand="0" w:firstRowFirstColumn="0" w:firstRowLastColumn="0" w:lastRowFirstColumn="0" w:lastRowLastColumn="0"/>
            <w:tcW w:w="1466" w:type="dxa"/>
          </w:tcPr>
          <w:p w14:paraId="6B0D1B63"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A</w:t>
            </w:r>
          </w:p>
        </w:tc>
      </w:tr>
      <w:tr w:rsidR="00903166" w:rsidRPr="00135240" w14:paraId="592CB093" w14:textId="77777777" w:rsidTr="00903166">
        <w:trPr>
          <w:trHeight w:hRule="exact" w:val="293"/>
        </w:trPr>
        <w:tc>
          <w:tcPr>
            <w:cnfStyle w:val="001000000000" w:firstRow="0" w:lastRow="0" w:firstColumn="1" w:lastColumn="0" w:oddVBand="0" w:evenVBand="0" w:oddHBand="0" w:evenHBand="0" w:firstRowFirstColumn="0" w:firstRowLastColumn="0" w:lastRowFirstColumn="0" w:lastRowLastColumn="0"/>
            <w:tcW w:w="1942" w:type="dxa"/>
          </w:tcPr>
          <w:p w14:paraId="72B1F0DF"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90</w:t>
            </w:r>
            <w:r w:rsidRPr="00135240">
              <w:rPr>
                <w:rFonts w:ascii="Cambria Math" w:hAnsi="Cambria Math" w:cs="Cambria Math"/>
                <w:color w:val="000000" w:themeColor="text1"/>
              </w:rPr>
              <w:t>‐</w:t>
            </w:r>
            <w:r w:rsidRPr="00135240">
              <w:rPr>
                <w:rFonts w:asciiTheme="minorHAnsi" w:hAnsiTheme="minorHAnsi"/>
                <w:color w:val="000000" w:themeColor="text1"/>
              </w:rPr>
              <w:t>93</w:t>
            </w:r>
          </w:p>
        </w:tc>
        <w:tc>
          <w:tcPr>
            <w:cnfStyle w:val="000100000000" w:firstRow="0" w:lastRow="0" w:firstColumn="0" w:lastColumn="1" w:oddVBand="0" w:evenVBand="0" w:oddHBand="0" w:evenHBand="0" w:firstRowFirstColumn="0" w:firstRowLastColumn="0" w:lastRowFirstColumn="0" w:lastRowLastColumn="0"/>
            <w:tcW w:w="1466" w:type="dxa"/>
          </w:tcPr>
          <w:p w14:paraId="2F7290E0" w14:textId="77777777" w:rsidR="00903166" w:rsidRPr="00135240" w:rsidRDefault="00903166" w:rsidP="00903166">
            <w:pPr>
              <w:pStyle w:val="TableParagraph"/>
              <w:spacing w:before="0"/>
              <w:jc w:val="center"/>
              <w:rPr>
                <w:rFonts w:asciiTheme="minorHAnsi" w:hAnsiTheme="minorHAnsi"/>
                <w:color w:val="000000" w:themeColor="text1"/>
              </w:rPr>
            </w:pPr>
            <w:r w:rsidRPr="00135240">
              <w:rPr>
                <w:rFonts w:asciiTheme="minorHAnsi" w:hAnsiTheme="minorHAnsi"/>
                <w:color w:val="000000" w:themeColor="text1"/>
              </w:rPr>
              <w:t>A</w:t>
            </w:r>
            <w:r w:rsidRPr="00135240">
              <w:rPr>
                <w:rFonts w:ascii="Cambria Math" w:hAnsi="Cambria Math" w:cs="Cambria Math"/>
                <w:color w:val="000000" w:themeColor="text1"/>
              </w:rPr>
              <w:t>‐</w:t>
            </w:r>
          </w:p>
        </w:tc>
      </w:tr>
      <w:tr w:rsidR="00903166" w:rsidRPr="00135240" w14:paraId="14505EE2" w14:textId="77777777" w:rsidTr="00903166">
        <w:trPr>
          <w:cnfStyle w:val="000000100000" w:firstRow="0" w:lastRow="0" w:firstColumn="0" w:lastColumn="0" w:oddVBand="0" w:evenVBand="0" w:oddHBand="1" w:evenHBand="0" w:firstRowFirstColumn="0" w:firstRowLastColumn="0" w:lastRowFirstColumn="0" w:lastRowLastColumn="0"/>
          <w:trHeight w:hRule="exact" w:val="294"/>
        </w:trPr>
        <w:tc>
          <w:tcPr>
            <w:cnfStyle w:val="001000000000" w:firstRow="0" w:lastRow="0" w:firstColumn="1" w:lastColumn="0" w:oddVBand="0" w:evenVBand="0" w:oddHBand="0" w:evenHBand="0" w:firstRowFirstColumn="0" w:firstRowLastColumn="0" w:lastRowFirstColumn="0" w:lastRowLastColumn="0"/>
            <w:tcW w:w="1942" w:type="dxa"/>
          </w:tcPr>
          <w:p w14:paraId="227ED105"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87</w:t>
            </w:r>
            <w:r w:rsidRPr="00135240">
              <w:rPr>
                <w:rFonts w:ascii="Cambria Math" w:hAnsi="Cambria Math" w:cs="Cambria Math"/>
                <w:color w:val="000000" w:themeColor="text1"/>
              </w:rPr>
              <w:t>‐</w:t>
            </w:r>
            <w:r w:rsidRPr="00135240">
              <w:rPr>
                <w:rFonts w:asciiTheme="minorHAnsi" w:hAnsiTheme="minorHAnsi"/>
                <w:color w:val="000000" w:themeColor="text1"/>
              </w:rPr>
              <w:t>89</w:t>
            </w:r>
          </w:p>
        </w:tc>
        <w:tc>
          <w:tcPr>
            <w:cnfStyle w:val="000100000000" w:firstRow="0" w:lastRow="0" w:firstColumn="0" w:lastColumn="1" w:oddVBand="0" w:evenVBand="0" w:oddHBand="0" w:evenHBand="0" w:firstRowFirstColumn="0" w:firstRowLastColumn="0" w:lastRowFirstColumn="0" w:lastRowLastColumn="0"/>
            <w:tcW w:w="1466" w:type="dxa"/>
          </w:tcPr>
          <w:p w14:paraId="76256995"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B+</w:t>
            </w:r>
          </w:p>
        </w:tc>
      </w:tr>
      <w:tr w:rsidR="00903166" w:rsidRPr="00135240" w14:paraId="0B5E6AB0" w14:textId="77777777" w:rsidTr="00903166">
        <w:trPr>
          <w:trHeight w:hRule="exact" w:val="292"/>
        </w:trPr>
        <w:tc>
          <w:tcPr>
            <w:cnfStyle w:val="001000000000" w:firstRow="0" w:lastRow="0" w:firstColumn="1" w:lastColumn="0" w:oddVBand="0" w:evenVBand="0" w:oddHBand="0" w:evenHBand="0" w:firstRowFirstColumn="0" w:firstRowLastColumn="0" w:lastRowFirstColumn="0" w:lastRowLastColumn="0"/>
            <w:tcW w:w="1942" w:type="dxa"/>
          </w:tcPr>
          <w:p w14:paraId="6A54D133"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83</w:t>
            </w:r>
            <w:r w:rsidRPr="00135240">
              <w:rPr>
                <w:rFonts w:ascii="Cambria Math" w:hAnsi="Cambria Math" w:cs="Cambria Math"/>
                <w:color w:val="000000" w:themeColor="text1"/>
              </w:rPr>
              <w:t>‐</w:t>
            </w:r>
            <w:r w:rsidRPr="00135240">
              <w:rPr>
                <w:rFonts w:asciiTheme="minorHAnsi" w:hAnsiTheme="minorHAnsi"/>
                <w:color w:val="000000" w:themeColor="text1"/>
              </w:rPr>
              <w:t>86</w:t>
            </w:r>
          </w:p>
        </w:tc>
        <w:tc>
          <w:tcPr>
            <w:cnfStyle w:val="000100000000" w:firstRow="0" w:lastRow="0" w:firstColumn="0" w:lastColumn="1" w:oddVBand="0" w:evenVBand="0" w:oddHBand="0" w:evenHBand="0" w:firstRowFirstColumn="0" w:firstRowLastColumn="0" w:lastRowFirstColumn="0" w:lastRowLastColumn="0"/>
            <w:tcW w:w="1466" w:type="dxa"/>
          </w:tcPr>
          <w:p w14:paraId="52EA8E35" w14:textId="77777777" w:rsidR="00903166" w:rsidRPr="00135240" w:rsidRDefault="00903166" w:rsidP="00903166">
            <w:pPr>
              <w:pStyle w:val="TableParagraph"/>
              <w:spacing w:before="0"/>
              <w:jc w:val="center"/>
              <w:rPr>
                <w:rFonts w:asciiTheme="minorHAnsi" w:hAnsiTheme="minorHAnsi"/>
                <w:color w:val="000000" w:themeColor="text1"/>
              </w:rPr>
            </w:pPr>
            <w:r w:rsidRPr="00135240">
              <w:rPr>
                <w:rFonts w:asciiTheme="minorHAnsi" w:hAnsiTheme="minorHAnsi"/>
                <w:color w:val="000000" w:themeColor="text1"/>
              </w:rPr>
              <w:t>B</w:t>
            </w:r>
          </w:p>
        </w:tc>
      </w:tr>
      <w:tr w:rsidR="00903166" w:rsidRPr="00135240" w14:paraId="17CFFB07" w14:textId="77777777" w:rsidTr="00903166">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942" w:type="dxa"/>
          </w:tcPr>
          <w:p w14:paraId="402F96D6"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80</w:t>
            </w:r>
            <w:r w:rsidRPr="00135240">
              <w:rPr>
                <w:rFonts w:ascii="Cambria Math" w:hAnsi="Cambria Math" w:cs="Cambria Math"/>
                <w:color w:val="000000" w:themeColor="text1"/>
              </w:rPr>
              <w:t>‐</w:t>
            </w:r>
            <w:r w:rsidRPr="00135240">
              <w:rPr>
                <w:rFonts w:asciiTheme="minorHAnsi" w:hAnsiTheme="minorHAnsi"/>
                <w:color w:val="000000" w:themeColor="text1"/>
              </w:rPr>
              <w:t>82</w:t>
            </w:r>
          </w:p>
        </w:tc>
        <w:tc>
          <w:tcPr>
            <w:cnfStyle w:val="000100000000" w:firstRow="0" w:lastRow="0" w:firstColumn="0" w:lastColumn="1" w:oddVBand="0" w:evenVBand="0" w:oddHBand="0" w:evenHBand="0" w:firstRowFirstColumn="0" w:firstRowLastColumn="0" w:lastRowFirstColumn="0" w:lastRowLastColumn="0"/>
            <w:tcW w:w="1466" w:type="dxa"/>
          </w:tcPr>
          <w:p w14:paraId="7CBA72B8"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B</w:t>
            </w:r>
            <w:r w:rsidRPr="00135240">
              <w:rPr>
                <w:rFonts w:ascii="Cambria Math" w:hAnsi="Cambria Math" w:cs="Cambria Math"/>
                <w:color w:val="000000" w:themeColor="text1"/>
              </w:rPr>
              <w:t>‐</w:t>
            </w:r>
          </w:p>
        </w:tc>
      </w:tr>
      <w:tr w:rsidR="00903166" w:rsidRPr="00135240" w14:paraId="12C6175D" w14:textId="77777777" w:rsidTr="00903166">
        <w:trPr>
          <w:trHeight w:hRule="exact" w:val="295"/>
        </w:trPr>
        <w:tc>
          <w:tcPr>
            <w:cnfStyle w:val="001000000000" w:firstRow="0" w:lastRow="0" w:firstColumn="1" w:lastColumn="0" w:oddVBand="0" w:evenVBand="0" w:oddHBand="0" w:evenHBand="0" w:firstRowFirstColumn="0" w:firstRowLastColumn="0" w:lastRowFirstColumn="0" w:lastRowLastColumn="0"/>
            <w:tcW w:w="1942" w:type="dxa"/>
          </w:tcPr>
          <w:p w14:paraId="20DDEA86"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77-79</w:t>
            </w:r>
          </w:p>
        </w:tc>
        <w:tc>
          <w:tcPr>
            <w:cnfStyle w:val="000100000000" w:firstRow="0" w:lastRow="0" w:firstColumn="0" w:lastColumn="1" w:oddVBand="0" w:evenVBand="0" w:oddHBand="0" w:evenHBand="0" w:firstRowFirstColumn="0" w:firstRowLastColumn="0" w:lastRowFirstColumn="0" w:lastRowLastColumn="0"/>
            <w:tcW w:w="1466" w:type="dxa"/>
          </w:tcPr>
          <w:p w14:paraId="7C7AEC3F"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C+</w:t>
            </w:r>
          </w:p>
        </w:tc>
      </w:tr>
      <w:tr w:rsidR="00903166" w:rsidRPr="00135240" w14:paraId="770EA422" w14:textId="77777777" w:rsidTr="00903166">
        <w:trPr>
          <w:cnfStyle w:val="000000100000" w:firstRow="0" w:lastRow="0" w:firstColumn="0" w:lastColumn="0" w:oddVBand="0" w:evenVBand="0" w:oddHBand="1" w:evenHBand="0" w:firstRowFirstColumn="0" w:firstRowLastColumn="0" w:lastRowFirstColumn="0" w:lastRowLastColumn="0"/>
          <w:trHeight w:hRule="exact" w:val="292"/>
        </w:trPr>
        <w:tc>
          <w:tcPr>
            <w:cnfStyle w:val="001000000000" w:firstRow="0" w:lastRow="0" w:firstColumn="1" w:lastColumn="0" w:oddVBand="0" w:evenVBand="0" w:oddHBand="0" w:evenHBand="0" w:firstRowFirstColumn="0" w:firstRowLastColumn="0" w:lastRowFirstColumn="0" w:lastRowLastColumn="0"/>
            <w:tcW w:w="1942" w:type="dxa"/>
          </w:tcPr>
          <w:p w14:paraId="547B029B"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73</w:t>
            </w:r>
            <w:r w:rsidRPr="00135240">
              <w:rPr>
                <w:rFonts w:ascii="Cambria Math" w:hAnsi="Cambria Math" w:cs="Cambria Math"/>
                <w:color w:val="000000" w:themeColor="text1"/>
              </w:rPr>
              <w:t>‐</w:t>
            </w:r>
            <w:r w:rsidRPr="00135240">
              <w:rPr>
                <w:rFonts w:asciiTheme="minorHAnsi" w:hAnsiTheme="minorHAnsi"/>
                <w:color w:val="000000" w:themeColor="text1"/>
              </w:rPr>
              <w:t>76</w:t>
            </w:r>
          </w:p>
        </w:tc>
        <w:tc>
          <w:tcPr>
            <w:cnfStyle w:val="000100000000" w:firstRow="0" w:lastRow="0" w:firstColumn="0" w:lastColumn="1" w:oddVBand="0" w:evenVBand="0" w:oddHBand="0" w:evenHBand="0" w:firstRowFirstColumn="0" w:firstRowLastColumn="0" w:lastRowFirstColumn="0" w:lastRowLastColumn="0"/>
            <w:tcW w:w="1466" w:type="dxa"/>
          </w:tcPr>
          <w:p w14:paraId="0E1FDA84" w14:textId="77777777" w:rsidR="00903166" w:rsidRPr="00135240" w:rsidRDefault="00903166" w:rsidP="00903166">
            <w:pPr>
              <w:pStyle w:val="TableParagraph"/>
              <w:spacing w:before="0"/>
              <w:jc w:val="center"/>
              <w:rPr>
                <w:rFonts w:asciiTheme="minorHAnsi" w:hAnsiTheme="minorHAnsi"/>
                <w:color w:val="000000" w:themeColor="text1"/>
              </w:rPr>
            </w:pPr>
            <w:r w:rsidRPr="00135240">
              <w:rPr>
                <w:rFonts w:asciiTheme="minorHAnsi" w:hAnsiTheme="minorHAnsi"/>
                <w:color w:val="000000" w:themeColor="text1"/>
              </w:rPr>
              <w:t>C</w:t>
            </w:r>
          </w:p>
        </w:tc>
      </w:tr>
      <w:tr w:rsidR="00903166" w:rsidRPr="00135240" w14:paraId="21A7B59C" w14:textId="77777777" w:rsidTr="00903166">
        <w:trPr>
          <w:trHeight w:hRule="exact" w:val="292"/>
        </w:trPr>
        <w:tc>
          <w:tcPr>
            <w:cnfStyle w:val="001000000000" w:firstRow="0" w:lastRow="0" w:firstColumn="1" w:lastColumn="0" w:oddVBand="0" w:evenVBand="0" w:oddHBand="0" w:evenHBand="0" w:firstRowFirstColumn="0" w:firstRowLastColumn="0" w:lastRowFirstColumn="0" w:lastRowLastColumn="0"/>
            <w:tcW w:w="1942" w:type="dxa"/>
          </w:tcPr>
          <w:p w14:paraId="07BBB6AC"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70-72</w:t>
            </w:r>
          </w:p>
        </w:tc>
        <w:tc>
          <w:tcPr>
            <w:cnfStyle w:val="000100000000" w:firstRow="0" w:lastRow="0" w:firstColumn="0" w:lastColumn="1" w:oddVBand="0" w:evenVBand="0" w:oddHBand="0" w:evenHBand="0" w:firstRowFirstColumn="0" w:firstRowLastColumn="0" w:lastRowFirstColumn="0" w:lastRowLastColumn="0"/>
            <w:tcW w:w="1466" w:type="dxa"/>
          </w:tcPr>
          <w:p w14:paraId="475BA3CC" w14:textId="77777777" w:rsidR="00903166" w:rsidRPr="00135240" w:rsidRDefault="00903166" w:rsidP="00903166">
            <w:pPr>
              <w:pStyle w:val="TableParagraph"/>
              <w:spacing w:before="0"/>
              <w:jc w:val="center"/>
              <w:rPr>
                <w:rFonts w:asciiTheme="minorHAnsi" w:hAnsiTheme="minorHAnsi"/>
                <w:color w:val="000000" w:themeColor="text1"/>
              </w:rPr>
            </w:pPr>
            <w:r w:rsidRPr="00135240">
              <w:rPr>
                <w:rFonts w:asciiTheme="minorHAnsi" w:hAnsiTheme="minorHAnsi"/>
                <w:color w:val="000000" w:themeColor="text1"/>
              </w:rPr>
              <w:t>C-</w:t>
            </w:r>
          </w:p>
        </w:tc>
      </w:tr>
      <w:tr w:rsidR="00903166" w:rsidRPr="00135240" w14:paraId="5D4444D5" w14:textId="77777777" w:rsidTr="00903166">
        <w:trPr>
          <w:cnfStyle w:val="000000100000" w:firstRow="0" w:lastRow="0" w:firstColumn="0" w:lastColumn="0" w:oddVBand="0" w:evenVBand="0" w:oddHBand="1" w:evenHBand="0" w:firstRowFirstColumn="0" w:firstRowLastColumn="0" w:lastRowFirstColumn="0" w:lastRowLastColumn="0"/>
          <w:trHeight w:hRule="exact" w:val="294"/>
        </w:trPr>
        <w:tc>
          <w:tcPr>
            <w:cnfStyle w:val="001000000000" w:firstRow="0" w:lastRow="0" w:firstColumn="1" w:lastColumn="0" w:oddVBand="0" w:evenVBand="0" w:oddHBand="0" w:evenHBand="0" w:firstRowFirstColumn="0" w:firstRowLastColumn="0" w:lastRowFirstColumn="0" w:lastRowLastColumn="0"/>
            <w:tcW w:w="1942" w:type="dxa"/>
          </w:tcPr>
          <w:p w14:paraId="39EED5BF"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60</w:t>
            </w:r>
            <w:r w:rsidRPr="00135240">
              <w:rPr>
                <w:rFonts w:ascii="Cambria Math" w:hAnsi="Cambria Math" w:cs="Cambria Math"/>
                <w:color w:val="000000" w:themeColor="text1"/>
              </w:rPr>
              <w:t>‐</w:t>
            </w:r>
            <w:r w:rsidRPr="00135240">
              <w:rPr>
                <w:rFonts w:asciiTheme="minorHAnsi" w:hAnsiTheme="minorHAnsi"/>
                <w:color w:val="000000" w:themeColor="text1"/>
              </w:rPr>
              <w:t>69</w:t>
            </w:r>
          </w:p>
        </w:tc>
        <w:tc>
          <w:tcPr>
            <w:cnfStyle w:val="000100000000" w:firstRow="0" w:lastRow="0" w:firstColumn="0" w:lastColumn="1" w:oddVBand="0" w:evenVBand="0" w:oddHBand="0" w:evenHBand="0" w:firstRowFirstColumn="0" w:firstRowLastColumn="0" w:lastRowFirstColumn="0" w:lastRowLastColumn="0"/>
            <w:tcW w:w="1466" w:type="dxa"/>
          </w:tcPr>
          <w:p w14:paraId="1A8AE372"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D</w:t>
            </w:r>
          </w:p>
        </w:tc>
      </w:tr>
      <w:tr w:rsidR="00903166" w:rsidRPr="00135240" w14:paraId="2D054870" w14:textId="77777777" w:rsidTr="00903166">
        <w:trPr>
          <w:cnfStyle w:val="010000000000" w:firstRow="0" w:lastRow="1" w:firstColumn="0" w:lastColumn="0" w:oddVBand="0" w:evenVBand="0" w:oddHBand="0" w:evenHBand="0" w:firstRowFirstColumn="0" w:firstRowLastColumn="0" w:lastRowFirstColumn="0" w:lastRowLastColumn="0"/>
          <w:trHeight w:hRule="exact" w:val="301"/>
        </w:trPr>
        <w:tc>
          <w:tcPr>
            <w:cnfStyle w:val="001000000001" w:firstRow="0" w:lastRow="0" w:firstColumn="1" w:lastColumn="0" w:oddVBand="0" w:evenVBand="0" w:oddHBand="0" w:evenHBand="0" w:firstRowFirstColumn="0" w:firstRowLastColumn="0" w:lastRowFirstColumn="1" w:lastRowLastColumn="0"/>
            <w:tcW w:w="1942" w:type="dxa"/>
          </w:tcPr>
          <w:p w14:paraId="1F1196F7" w14:textId="77777777" w:rsidR="00903166" w:rsidRPr="00135240" w:rsidRDefault="00903166" w:rsidP="00903166">
            <w:pPr>
              <w:pStyle w:val="TableParagraph"/>
              <w:spacing w:before="0"/>
              <w:rPr>
                <w:rFonts w:asciiTheme="minorHAnsi" w:hAnsiTheme="minorHAnsi"/>
                <w:color w:val="000000" w:themeColor="text1"/>
              </w:rPr>
            </w:pPr>
            <w:r w:rsidRPr="00135240">
              <w:rPr>
                <w:rFonts w:asciiTheme="minorHAnsi" w:hAnsiTheme="minorHAnsi"/>
                <w:color w:val="000000" w:themeColor="text1"/>
              </w:rPr>
              <w:t>&lt;60</w:t>
            </w:r>
          </w:p>
        </w:tc>
        <w:tc>
          <w:tcPr>
            <w:cnfStyle w:val="000100000010" w:firstRow="0" w:lastRow="0" w:firstColumn="0" w:lastColumn="1" w:oddVBand="0" w:evenVBand="0" w:oddHBand="0" w:evenHBand="0" w:firstRowFirstColumn="0" w:firstRowLastColumn="0" w:lastRowFirstColumn="0" w:lastRowLastColumn="1"/>
            <w:tcW w:w="1466" w:type="dxa"/>
          </w:tcPr>
          <w:p w14:paraId="00D957AD" w14:textId="77777777" w:rsidR="00903166" w:rsidRPr="00135240" w:rsidRDefault="00903166" w:rsidP="00903166">
            <w:pPr>
              <w:pStyle w:val="TableParagraph"/>
              <w:spacing w:before="0"/>
              <w:ind w:left="108"/>
              <w:jc w:val="center"/>
              <w:rPr>
                <w:rFonts w:asciiTheme="minorHAnsi" w:hAnsiTheme="minorHAnsi"/>
                <w:color w:val="000000" w:themeColor="text1"/>
              </w:rPr>
            </w:pPr>
            <w:r w:rsidRPr="00135240">
              <w:rPr>
                <w:rFonts w:asciiTheme="minorHAnsi" w:hAnsiTheme="minorHAnsi"/>
                <w:color w:val="000000" w:themeColor="text1"/>
              </w:rPr>
              <w:t>F</w:t>
            </w:r>
          </w:p>
        </w:tc>
      </w:tr>
    </w:tbl>
    <w:p w14:paraId="42B3EEAF" w14:textId="138C70C6" w:rsidR="00903166" w:rsidRDefault="00903166" w:rsidP="00903166">
      <w:pPr>
        <w:rPr>
          <w:b/>
          <w:bCs/>
        </w:rPr>
      </w:pPr>
      <w:r w:rsidRPr="00304127">
        <w:rPr>
          <w:b/>
          <w:bCs/>
        </w:rPr>
        <w:t>Graded components</w:t>
      </w:r>
    </w:p>
    <w:p w14:paraId="171F45F5" w14:textId="77777777" w:rsidR="00903166" w:rsidRDefault="00903166" w:rsidP="00903166">
      <w:pPr>
        <w:rPr>
          <w:b/>
          <w:bCs/>
        </w:rPr>
      </w:pPr>
    </w:p>
    <w:p w14:paraId="3A2B0F62" w14:textId="77777777" w:rsidR="00903166" w:rsidRDefault="00903166" w:rsidP="00903166">
      <w:r>
        <w:t>Participation in internship and course meetings</w:t>
      </w:r>
      <w:r>
        <w:tab/>
        <w:t>50%</w:t>
      </w:r>
    </w:p>
    <w:p w14:paraId="20F9E4C4" w14:textId="77777777" w:rsidR="00903166" w:rsidRDefault="00903166" w:rsidP="00903166">
      <w:r>
        <w:t>Final presentation</w:t>
      </w:r>
      <w:r>
        <w:tab/>
      </w:r>
      <w:r>
        <w:tab/>
      </w:r>
      <w:r>
        <w:tab/>
      </w:r>
      <w:r>
        <w:tab/>
      </w:r>
      <w:r>
        <w:tab/>
        <w:t>20%</w:t>
      </w:r>
    </w:p>
    <w:p w14:paraId="2DC9F597" w14:textId="77777777" w:rsidR="00903166" w:rsidRDefault="00903166" w:rsidP="00903166">
      <w:r>
        <w:t>Internship write-up</w:t>
      </w:r>
      <w:r>
        <w:tab/>
      </w:r>
      <w:r>
        <w:tab/>
      </w:r>
      <w:r>
        <w:tab/>
      </w:r>
      <w:r>
        <w:tab/>
      </w:r>
      <w:r>
        <w:tab/>
        <w:t>20%</w:t>
      </w:r>
    </w:p>
    <w:p w14:paraId="37DF7926" w14:textId="77777777" w:rsidR="00903166" w:rsidRDefault="00903166" w:rsidP="00903166">
      <w:r>
        <w:t>Pre-Internship Assessment</w:t>
      </w:r>
      <w:r>
        <w:tab/>
      </w:r>
      <w:r>
        <w:tab/>
      </w:r>
      <w:r>
        <w:tab/>
      </w:r>
      <w:r>
        <w:tab/>
        <w:t>5%</w:t>
      </w:r>
    </w:p>
    <w:p w14:paraId="133771BC" w14:textId="77777777" w:rsidR="00903166" w:rsidRDefault="00903166" w:rsidP="00903166">
      <w:r>
        <w:t>Post-Internship Assessment</w:t>
      </w:r>
      <w:r>
        <w:tab/>
      </w:r>
      <w:r>
        <w:tab/>
      </w:r>
      <w:r>
        <w:tab/>
      </w:r>
      <w:r>
        <w:tab/>
        <w:t>5%</w:t>
      </w:r>
    </w:p>
    <w:p w14:paraId="0D636BCB" w14:textId="77777777" w:rsidR="00903166" w:rsidRDefault="00903166" w:rsidP="00903166">
      <w:pPr>
        <w:rPr>
          <w:b/>
          <w:bCs/>
        </w:rPr>
      </w:pPr>
    </w:p>
    <w:p w14:paraId="1D43878D" w14:textId="77777777" w:rsidR="00903166" w:rsidRDefault="00903166" w:rsidP="00867F10"/>
    <w:p w14:paraId="0850E7B2" w14:textId="77777777" w:rsidR="00951A27" w:rsidRDefault="00951A27"/>
    <w:p w14:paraId="4FCBD669" w14:textId="77777777" w:rsidR="00903166" w:rsidRDefault="00903166" w:rsidP="00903166">
      <w:pPr>
        <w:rPr>
          <w:b/>
          <w:bCs/>
        </w:rPr>
      </w:pPr>
    </w:p>
    <w:p w14:paraId="1E4F0006" w14:textId="77777777" w:rsidR="004F0C84" w:rsidRDefault="004F0C84" w:rsidP="00903166">
      <w:pPr>
        <w:rPr>
          <w:b/>
          <w:bCs/>
        </w:rPr>
      </w:pPr>
    </w:p>
    <w:p w14:paraId="7F854A2F" w14:textId="77777777" w:rsidR="00903166" w:rsidRDefault="00903166" w:rsidP="00903166">
      <w:pPr>
        <w:rPr>
          <w:b/>
          <w:bCs/>
        </w:rPr>
      </w:pPr>
    </w:p>
    <w:p w14:paraId="79F9A6A1" w14:textId="59ED4BE4" w:rsidR="00903166" w:rsidRPr="00A13469" w:rsidRDefault="00903166" w:rsidP="00903166">
      <w:pPr>
        <w:rPr>
          <w:b/>
          <w:bCs/>
        </w:rPr>
      </w:pPr>
      <w:r w:rsidRPr="00A13469">
        <w:rPr>
          <w:b/>
          <w:bCs/>
        </w:rPr>
        <w:lastRenderedPageBreak/>
        <w:t>Course policies and student expectations</w:t>
      </w:r>
    </w:p>
    <w:p w14:paraId="797A5D27" w14:textId="77777777" w:rsidR="00903166" w:rsidRDefault="00903166" w:rsidP="00903166">
      <w:r w:rsidRPr="004355DA">
        <w:rPr>
          <w:u w:val="single"/>
        </w:rPr>
        <w:t>Attendance and participation policy</w:t>
      </w:r>
      <w:r>
        <w:t xml:space="preserve">: Attendance at all course meetings is required. If you need to miss class, please proactively communicate with the instructor as early as possible to </w:t>
      </w:r>
      <w:proofErr w:type="gramStart"/>
      <w:r>
        <w:t>make arrangements</w:t>
      </w:r>
      <w:proofErr w:type="gramEnd"/>
      <w:r>
        <w:t xml:space="preserve"> to make-up missed classes.</w:t>
      </w:r>
    </w:p>
    <w:p w14:paraId="6654AC4F" w14:textId="77777777" w:rsidR="00903166" w:rsidRDefault="00903166" w:rsidP="00903166">
      <w:r w:rsidRPr="004355DA">
        <w:rPr>
          <w:u w:val="single"/>
        </w:rPr>
        <w:t>Course preparation</w:t>
      </w:r>
      <w:r>
        <w:t>: Required readings will be posted on the website.</w:t>
      </w:r>
    </w:p>
    <w:p w14:paraId="59633860" w14:textId="77777777" w:rsidR="00903166" w:rsidRDefault="00903166" w:rsidP="00903166">
      <w:r w:rsidRPr="004355DA">
        <w:rPr>
          <w:u w:val="single"/>
        </w:rPr>
        <w:t>Late-work policy</w:t>
      </w:r>
      <w:r>
        <w:t>: Please submit all assignments on time.  Flexibility is built into the schedule as we recognize that students have a lot of competing responsibilities. In extenuating circumstances, late work will be considered, but proactive and clear communication is required.</w:t>
      </w:r>
    </w:p>
    <w:p w14:paraId="4E76A75F" w14:textId="77777777" w:rsidR="00903166" w:rsidRDefault="00903166" w:rsidP="00903166">
      <w:r w:rsidRPr="00CE6025">
        <w:rPr>
          <w:u w:val="single"/>
        </w:rPr>
        <w:t>Academic code of conduct</w:t>
      </w:r>
      <w:r>
        <w:t xml:space="preserve">: This course will adhere to the Boston University Academic Conduct Code which appears on this website: </w:t>
      </w:r>
      <w:r w:rsidRPr="00CE6025">
        <w:t>https://www.bu.edu/academics/policies/academic-conduct-code/</w:t>
      </w:r>
    </w:p>
    <w:p w14:paraId="695B9896" w14:textId="77777777" w:rsidR="00903166" w:rsidRDefault="00903166"/>
    <w:p w14:paraId="59884773" w14:textId="77777777" w:rsidR="00903166" w:rsidRDefault="00903166"/>
    <w:p w14:paraId="50B43B60" w14:textId="2979937C" w:rsidR="00903166" w:rsidRPr="00030A63" w:rsidRDefault="00903166" w:rsidP="00030A63">
      <w:pPr>
        <w:jc w:val="center"/>
        <w:rPr>
          <w:b/>
          <w:bCs/>
        </w:rPr>
      </w:pPr>
      <w:r>
        <w:rPr>
          <w:b/>
          <w:bCs/>
        </w:rPr>
        <w:t>Course schedule and assignments</w:t>
      </w:r>
    </w:p>
    <w:p w14:paraId="548EE199" w14:textId="77777777" w:rsidR="00903166" w:rsidRDefault="00903166"/>
    <w:p w14:paraId="76DC43F5" w14:textId="6C9B7CE6" w:rsidR="00903166" w:rsidRPr="005E54EF" w:rsidRDefault="00903166" w:rsidP="00903166">
      <w:pPr>
        <w:rPr>
          <w:u w:val="single"/>
        </w:rPr>
      </w:pPr>
      <w:r w:rsidRPr="005E54EF">
        <w:rPr>
          <w:u w:val="single"/>
        </w:rPr>
        <w:t>Session 1 – Course Introduction</w:t>
      </w:r>
      <w:r w:rsidR="00C72C86" w:rsidRPr="00C72C86">
        <w:rPr>
          <w:b/>
          <w:bCs/>
        </w:rPr>
        <w:t xml:space="preserve"> – Tuesday, February 3, 3-4pm</w:t>
      </w:r>
    </w:p>
    <w:p w14:paraId="7B27F28E" w14:textId="77777777" w:rsidR="00903166" w:rsidRPr="005E54EF" w:rsidRDefault="00903166" w:rsidP="00903166">
      <w:pPr>
        <w:pStyle w:val="ListParagraph"/>
        <w:numPr>
          <w:ilvl w:val="0"/>
          <w:numId w:val="2"/>
        </w:numPr>
      </w:pPr>
      <w:r w:rsidRPr="005E54EF">
        <w:t xml:space="preserve">Complete and discuss </w:t>
      </w:r>
      <w:hyperlink r:id="rId8" w:history="1">
        <w:r w:rsidRPr="005E54EF">
          <w:rPr>
            <w:rStyle w:val="Hyperlink"/>
          </w:rPr>
          <w:t>Pre-Internship Assessment</w:t>
        </w:r>
      </w:hyperlink>
    </w:p>
    <w:p w14:paraId="469128A6" w14:textId="77777777" w:rsidR="00903166" w:rsidRPr="005E54EF" w:rsidRDefault="00903166" w:rsidP="00903166">
      <w:pPr>
        <w:pStyle w:val="ListParagraph"/>
        <w:numPr>
          <w:ilvl w:val="0"/>
          <w:numId w:val="2"/>
        </w:numPr>
      </w:pPr>
      <w:r w:rsidRPr="005E54EF">
        <w:t>Internship and course goals</w:t>
      </w:r>
    </w:p>
    <w:p w14:paraId="49D133E8" w14:textId="77777777" w:rsidR="00903166" w:rsidRDefault="00903166" w:rsidP="00903166">
      <w:pPr>
        <w:pStyle w:val="ListParagraph"/>
        <w:numPr>
          <w:ilvl w:val="0"/>
          <w:numId w:val="2"/>
        </w:numPr>
      </w:pPr>
      <w:r w:rsidRPr="005E54EF">
        <w:t>Networks and informational interviews</w:t>
      </w:r>
    </w:p>
    <w:p w14:paraId="79C12FAF" w14:textId="77777777" w:rsidR="00903166" w:rsidRPr="005E54EF" w:rsidRDefault="00903166" w:rsidP="00903166"/>
    <w:tbl>
      <w:tblPr>
        <w:tblStyle w:val="TableGrid"/>
        <w:tblW w:w="0" w:type="auto"/>
        <w:tblLook w:val="04A0" w:firstRow="1" w:lastRow="0" w:firstColumn="1" w:lastColumn="0" w:noHBand="0" w:noVBand="1"/>
      </w:tblPr>
      <w:tblGrid>
        <w:gridCol w:w="10070"/>
      </w:tblGrid>
      <w:tr w:rsidR="00903166" w:rsidRPr="005E54EF" w14:paraId="0C4C5936" w14:textId="77777777" w:rsidTr="005745EE">
        <w:tc>
          <w:tcPr>
            <w:tcW w:w="10070" w:type="dxa"/>
          </w:tcPr>
          <w:p w14:paraId="034F35B4" w14:textId="77777777" w:rsidR="00903166" w:rsidRPr="005E54EF" w:rsidRDefault="00903166" w:rsidP="005745EE">
            <w:pPr>
              <w:rPr>
                <w:u w:val="single"/>
              </w:rPr>
            </w:pPr>
            <w:r w:rsidRPr="005E54EF">
              <w:rPr>
                <w:u w:val="single"/>
              </w:rPr>
              <w:t xml:space="preserve">Assignment (for next time): </w:t>
            </w:r>
          </w:p>
          <w:p w14:paraId="10CBE7E0" w14:textId="77777777" w:rsidR="00903166" w:rsidRPr="005E54EF" w:rsidRDefault="00903166" w:rsidP="00903166">
            <w:pPr>
              <w:pStyle w:val="ListParagraph"/>
              <w:numPr>
                <w:ilvl w:val="0"/>
                <w:numId w:val="3"/>
              </w:numPr>
            </w:pPr>
            <w:r w:rsidRPr="005E54EF">
              <w:t>Read one or more of the papers below to inform discussion:</w:t>
            </w:r>
          </w:p>
          <w:p w14:paraId="798B39AA" w14:textId="77777777" w:rsidR="00903166" w:rsidRPr="005E54EF" w:rsidRDefault="00903166" w:rsidP="00903166">
            <w:pPr>
              <w:pStyle w:val="ListParagraph"/>
              <w:numPr>
                <w:ilvl w:val="1"/>
                <w:numId w:val="4"/>
              </w:numPr>
            </w:pPr>
            <w:r w:rsidRPr="005E54EF">
              <w:t>Egerer, M., et al. (2021). “Urban change as an untapped opportunity for climate adaptation.” </w:t>
            </w:r>
            <w:r w:rsidRPr="005E54EF">
              <w:rPr>
                <w:i/>
                <w:iCs/>
              </w:rPr>
              <w:t>Nature Partner Journals, 1</w:t>
            </w:r>
            <w:r w:rsidRPr="005E54EF">
              <w:t>(22). </w:t>
            </w:r>
            <w:hyperlink r:id="rId9" w:history="1">
              <w:r w:rsidRPr="005E54EF">
                <w:rPr>
                  <w:rStyle w:val="Hyperlink"/>
                </w:rPr>
                <w:t>pdf</w:t>
              </w:r>
            </w:hyperlink>
          </w:p>
          <w:p w14:paraId="6D3035ED" w14:textId="77777777" w:rsidR="00903166" w:rsidRPr="005E54EF" w:rsidRDefault="00903166" w:rsidP="00903166">
            <w:pPr>
              <w:pStyle w:val="ListParagraph"/>
              <w:numPr>
                <w:ilvl w:val="1"/>
                <w:numId w:val="4"/>
              </w:numPr>
            </w:pPr>
            <w:r w:rsidRPr="005E54EF">
              <w:t>Harman, B.P., et al. (2015). “Urban partnerships and climate adaptation: challenges and opportunities.” Current Opinion in Environmental Sustainability 12: 74-79. </w:t>
            </w:r>
            <w:hyperlink r:id="rId10" w:history="1">
              <w:r w:rsidRPr="005E54EF">
                <w:rPr>
                  <w:rStyle w:val="Hyperlink"/>
                </w:rPr>
                <w:t>pdf</w:t>
              </w:r>
            </w:hyperlink>
          </w:p>
          <w:p w14:paraId="6D91B902" w14:textId="77777777" w:rsidR="00903166" w:rsidRPr="005E54EF" w:rsidRDefault="00903166" w:rsidP="00903166">
            <w:pPr>
              <w:pStyle w:val="ListParagraph"/>
              <w:numPr>
                <w:ilvl w:val="1"/>
                <w:numId w:val="4"/>
              </w:numPr>
            </w:pPr>
            <w:r w:rsidRPr="005E54EF">
              <w:t>Ramaswami, A., et al. (2016). “Meta-principles for developing smart, sustainable, and healthy cities.” </w:t>
            </w:r>
            <w:r w:rsidRPr="005E54EF">
              <w:rPr>
                <w:i/>
                <w:iCs/>
              </w:rPr>
              <w:t>Science</w:t>
            </w:r>
            <w:r w:rsidRPr="005E54EF">
              <w:t>, </w:t>
            </w:r>
            <w:r w:rsidRPr="005E54EF">
              <w:rPr>
                <w:i/>
                <w:iCs/>
              </w:rPr>
              <w:t>352</w:t>
            </w:r>
            <w:r w:rsidRPr="005E54EF">
              <w:t>(6288), 940-943. </w:t>
            </w:r>
            <w:hyperlink r:id="rId11" w:history="1">
              <w:r w:rsidRPr="005E54EF">
                <w:rPr>
                  <w:rStyle w:val="Hyperlink"/>
                </w:rPr>
                <w:t>pdf</w:t>
              </w:r>
            </w:hyperlink>
          </w:p>
          <w:p w14:paraId="0A7381EF" w14:textId="77777777" w:rsidR="00903166" w:rsidRPr="005E54EF" w:rsidRDefault="00903166" w:rsidP="00903166">
            <w:pPr>
              <w:pStyle w:val="ListParagraph"/>
              <w:numPr>
                <w:ilvl w:val="1"/>
                <w:numId w:val="4"/>
              </w:numPr>
            </w:pPr>
            <w:r w:rsidRPr="005E54EF">
              <w:t>Templer, P., et al. (2024). “Strengthening graduate education and addressing environmental challenges through solutions-oriented partnerships and interdisciplinary training.” </w:t>
            </w:r>
            <w:r w:rsidRPr="005E54EF">
              <w:rPr>
                <w:i/>
                <w:iCs/>
              </w:rPr>
              <w:t>Sustainable Earth Reviews, 7</w:t>
            </w:r>
            <w:r w:rsidRPr="005E54EF">
              <w:t>(3). </w:t>
            </w:r>
            <w:hyperlink r:id="rId12" w:history="1">
              <w:r w:rsidRPr="005E54EF">
                <w:rPr>
                  <w:rStyle w:val="Hyperlink"/>
                </w:rPr>
                <w:t>pdf</w:t>
              </w:r>
            </w:hyperlink>
          </w:p>
        </w:tc>
      </w:tr>
    </w:tbl>
    <w:p w14:paraId="07C39FF6" w14:textId="77777777" w:rsidR="00903166" w:rsidRDefault="00903166"/>
    <w:p w14:paraId="19674365" w14:textId="77777777" w:rsidR="00903166" w:rsidRDefault="00903166"/>
    <w:p w14:paraId="44729A48" w14:textId="77777777" w:rsidR="00903166" w:rsidRDefault="00903166"/>
    <w:p w14:paraId="12F844E2" w14:textId="425479F1" w:rsidR="00903166" w:rsidRPr="00C72C86" w:rsidRDefault="00903166" w:rsidP="00903166">
      <w:pPr>
        <w:rPr>
          <w:b/>
          <w:bCs/>
        </w:rPr>
      </w:pPr>
      <w:r w:rsidRPr="005E54EF">
        <w:rPr>
          <w:u w:val="single"/>
        </w:rPr>
        <w:t>Session 2 – Big Picture: Tackling Urban Environmental Challenges</w:t>
      </w:r>
      <w:r w:rsidR="00C72C86">
        <w:t xml:space="preserve"> </w:t>
      </w:r>
      <w:r w:rsidR="00C72C86">
        <w:rPr>
          <w:b/>
          <w:bCs/>
        </w:rPr>
        <w:t>– Tuesday, February 24, 3-4pm</w:t>
      </w:r>
    </w:p>
    <w:p w14:paraId="5977453D" w14:textId="77777777" w:rsidR="00903166" w:rsidRPr="005E54EF" w:rsidRDefault="00903166" w:rsidP="00903166">
      <w:pPr>
        <w:pStyle w:val="ListParagraph"/>
        <w:numPr>
          <w:ilvl w:val="0"/>
          <w:numId w:val="5"/>
        </w:numPr>
      </w:pPr>
      <w:r w:rsidRPr="005E54EF">
        <w:t>How do public-private partnerships contribute to sustainable and healthy cities?</w:t>
      </w:r>
    </w:p>
    <w:p w14:paraId="4FA82105" w14:textId="77777777" w:rsidR="00903166" w:rsidRDefault="00903166" w:rsidP="00903166">
      <w:pPr>
        <w:pStyle w:val="ListParagraph"/>
        <w:numPr>
          <w:ilvl w:val="0"/>
          <w:numId w:val="5"/>
        </w:numPr>
      </w:pPr>
      <w:r w:rsidRPr="005E54EF">
        <w:t>How can you engage relevant community members and stakeholders in your work?</w:t>
      </w:r>
    </w:p>
    <w:p w14:paraId="0007959C" w14:textId="77777777" w:rsidR="00903166" w:rsidRPr="005E54EF" w:rsidRDefault="00903166" w:rsidP="00903166"/>
    <w:tbl>
      <w:tblPr>
        <w:tblStyle w:val="TableGrid"/>
        <w:tblW w:w="0" w:type="auto"/>
        <w:tblLook w:val="04A0" w:firstRow="1" w:lastRow="0" w:firstColumn="1" w:lastColumn="0" w:noHBand="0" w:noVBand="1"/>
      </w:tblPr>
      <w:tblGrid>
        <w:gridCol w:w="10070"/>
      </w:tblGrid>
      <w:tr w:rsidR="00903166" w:rsidRPr="005E54EF" w14:paraId="5C1FB004" w14:textId="77777777" w:rsidTr="005745EE">
        <w:tc>
          <w:tcPr>
            <w:tcW w:w="10070" w:type="dxa"/>
          </w:tcPr>
          <w:p w14:paraId="3E033E84" w14:textId="77777777" w:rsidR="00903166" w:rsidRPr="005E54EF" w:rsidRDefault="00903166" w:rsidP="005745EE">
            <w:pPr>
              <w:rPr>
                <w:u w:val="single"/>
              </w:rPr>
            </w:pPr>
            <w:r w:rsidRPr="005E54EF">
              <w:rPr>
                <w:u w:val="single"/>
              </w:rPr>
              <w:t>Assignment (for next time):</w:t>
            </w:r>
          </w:p>
          <w:p w14:paraId="1D821451" w14:textId="24297CE5" w:rsidR="00903166" w:rsidRPr="005E54EF" w:rsidRDefault="00903166" w:rsidP="00903166">
            <w:pPr>
              <w:numPr>
                <w:ilvl w:val="0"/>
                <w:numId w:val="6"/>
              </w:numPr>
            </w:pPr>
            <w:r w:rsidRPr="005E54EF">
              <w:t>Read at least two policy briefs and/or white papers.  Resources are shared below</w:t>
            </w:r>
            <w:r w:rsidR="003405BB">
              <w:t xml:space="preserve"> for each…</w:t>
            </w:r>
          </w:p>
          <w:p w14:paraId="225217AF" w14:textId="77777777" w:rsidR="00903166" w:rsidRPr="005E54EF" w:rsidRDefault="00903166" w:rsidP="005745EE">
            <w:pPr>
              <w:ind w:left="720"/>
            </w:pPr>
            <w:r w:rsidRPr="003405BB">
              <w:rPr>
                <w:i/>
                <w:iCs/>
              </w:rPr>
              <w:t>Policy Brief resources</w:t>
            </w:r>
            <w:r w:rsidRPr="005E54EF">
              <w:t>:</w:t>
            </w:r>
          </w:p>
          <w:p w14:paraId="42634727" w14:textId="77777777" w:rsidR="00903166" w:rsidRPr="005E54EF" w:rsidRDefault="00903166" w:rsidP="00903166">
            <w:pPr>
              <w:numPr>
                <w:ilvl w:val="1"/>
                <w:numId w:val="6"/>
              </w:numPr>
            </w:pPr>
            <w:r w:rsidRPr="005E54EF">
              <w:t>Atherton, K., et al. (2021). “Reducing Urban Heat Island Effects While</w:t>
            </w:r>
            <w:r w:rsidRPr="005E54EF">
              <w:br/>
              <w:t>Providing Affordable Housing in Bunker Hill.” </w:t>
            </w:r>
            <w:r w:rsidRPr="005E54EF">
              <w:rPr>
                <w:i/>
                <w:iCs/>
              </w:rPr>
              <w:t>Journal of Science Policy &amp; Governance, 18</w:t>
            </w:r>
            <w:r w:rsidRPr="005E54EF">
              <w:t>(4). linked </w:t>
            </w:r>
            <w:hyperlink r:id="rId13" w:history="1">
              <w:r w:rsidRPr="005E54EF">
                <w:rPr>
                  <w:rStyle w:val="Hyperlink"/>
                </w:rPr>
                <w:t>here</w:t>
              </w:r>
            </w:hyperlink>
          </w:p>
          <w:p w14:paraId="75AD6DF2" w14:textId="77777777" w:rsidR="00903166" w:rsidRPr="005E54EF" w:rsidRDefault="00903166" w:rsidP="00903166">
            <w:pPr>
              <w:numPr>
                <w:ilvl w:val="1"/>
                <w:numId w:val="6"/>
              </w:numPr>
            </w:pPr>
            <w:r w:rsidRPr="005E54EF">
              <w:t xml:space="preserve">AAAS </w:t>
            </w:r>
            <w:proofErr w:type="spellStart"/>
            <w:r w:rsidRPr="005E54EF">
              <w:t>STPF_Briefing</w:t>
            </w:r>
            <w:proofErr w:type="spellEnd"/>
            <w:r w:rsidRPr="005E54EF">
              <w:t xml:space="preserve"> </w:t>
            </w:r>
            <w:proofErr w:type="spellStart"/>
            <w:r w:rsidRPr="005E54EF">
              <w:t>Memorandum_Tara</w:t>
            </w:r>
            <w:proofErr w:type="spellEnd"/>
            <w:r w:rsidRPr="005E54EF">
              <w:t xml:space="preserve"> Miller (2023) </w:t>
            </w:r>
            <w:hyperlink r:id="rId14" w:history="1">
              <w:r w:rsidRPr="005E54EF">
                <w:rPr>
                  <w:rStyle w:val="Hyperlink"/>
                </w:rPr>
                <w:t>link to pdf</w:t>
              </w:r>
            </w:hyperlink>
          </w:p>
          <w:p w14:paraId="195FC165" w14:textId="77777777" w:rsidR="00903166" w:rsidRPr="005E54EF" w:rsidRDefault="00903166" w:rsidP="00903166">
            <w:pPr>
              <w:numPr>
                <w:ilvl w:val="1"/>
                <w:numId w:val="6"/>
              </w:numPr>
            </w:pPr>
            <w:r w:rsidRPr="005E54EF">
              <w:t>Newport News Policy Memo: Addressing the Coal Dust Pollution in Our Community </w:t>
            </w:r>
            <w:hyperlink r:id="rId15" w:history="1">
              <w:r w:rsidRPr="005E54EF">
                <w:rPr>
                  <w:rStyle w:val="Hyperlink"/>
                </w:rPr>
                <w:t>link to pdf</w:t>
              </w:r>
            </w:hyperlink>
          </w:p>
          <w:p w14:paraId="098B0980" w14:textId="77777777" w:rsidR="00903166" w:rsidRPr="005E54EF" w:rsidRDefault="00903166" w:rsidP="00903166">
            <w:pPr>
              <w:numPr>
                <w:ilvl w:val="1"/>
                <w:numId w:val="6"/>
              </w:numPr>
            </w:pPr>
            <w:r w:rsidRPr="005E54EF">
              <w:t>Wright, J., et al. (2022, July 22). </w:t>
            </w:r>
            <w:r w:rsidRPr="005E54EF">
              <w:rPr>
                <w:i/>
                <w:iCs/>
              </w:rPr>
              <w:t>Sharing the Benefits of Offshore Wind in Massachusetts. </w:t>
            </w:r>
            <w:r w:rsidRPr="005E54EF">
              <w:t>Medium. </w:t>
            </w:r>
            <w:hyperlink r:id="rId16" w:history="1">
              <w:r w:rsidRPr="005E54EF">
                <w:rPr>
                  <w:rStyle w:val="Hyperlink"/>
                </w:rPr>
                <w:t>https://medium.com/scitech-forefront/sharing-the-benefits-of-offshore-wind-in-massachusetts-96960fb24278</w:t>
              </w:r>
            </w:hyperlink>
          </w:p>
          <w:p w14:paraId="35F823C1" w14:textId="77777777" w:rsidR="00903166" w:rsidRPr="005E54EF" w:rsidRDefault="00903166" w:rsidP="005745EE">
            <w:pPr>
              <w:pStyle w:val="ListParagraph"/>
            </w:pPr>
            <w:r w:rsidRPr="003405BB">
              <w:rPr>
                <w:i/>
                <w:iCs/>
              </w:rPr>
              <w:t>White Paper resources</w:t>
            </w:r>
            <w:r w:rsidRPr="005E54EF">
              <w:t>:</w:t>
            </w:r>
          </w:p>
          <w:p w14:paraId="0B807C0F" w14:textId="77777777" w:rsidR="00903166" w:rsidRPr="005E54EF" w:rsidRDefault="00903166" w:rsidP="00903166">
            <w:pPr>
              <w:numPr>
                <w:ilvl w:val="1"/>
                <w:numId w:val="6"/>
              </w:numPr>
            </w:pPr>
            <w:hyperlink r:id="rId17" w:history="1">
              <w:r w:rsidRPr="005E54EF">
                <w:rPr>
                  <w:rStyle w:val="Hyperlink"/>
                </w:rPr>
                <w:t>White Papers Overview from the Writing Center at George Mason University</w:t>
              </w:r>
            </w:hyperlink>
          </w:p>
          <w:p w14:paraId="5B23EFDD" w14:textId="77777777" w:rsidR="00903166" w:rsidRPr="005E54EF" w:rsidRDefault="00903166" w:rsidP="00903166">
            <w:pPr>
              <w:numPr>
                <w:ilvl w:val="1"/>
                <w:numId w:val="6"/>
              </w:numPr>
            </w:pPr>
            <w:r w:rsidRPr="005E54EF">
              <w:t>“Eight lessons on how to influence policy with evidence” </w:t>
            </w:r>
            <w:hyperlink r:id="rId18" w:history="1">
              <w:r w:rsidRPr="005E54EF">
                <w:rPr>
                  <w:rStyle w:val="Hyperlink"/>
                </w:rPr>
                <w:t>Brief Summary</w:t>
              </w:r>
            </w:hyperlink>
          </w:p>
          <w:p w14:paraId="0CB5D5C4" w14:textId="77777777" w:rsidR="00903166" w:rsidRPr="005E54EF" w:rsidRDefault="00903166" w:rsidP="00903166">
            <w:pPr>
              <w:numPr>
                <w:ilvl w:val="2"/>
                <w:numId w:val="6"/>
              </w:numPr>
            </w:pPr>
            <w:r w:rsidRPr="005E54EF">
              <w:t>“Using Evidence to Influence Policy: Oxfam’s Experience,” Nature, 2018. </w:t>
            </w:r>
            <w:hyperlink r:id="rId19" w:history="1">
              <w:r w:rsidRPr="005E54EF">
                <w:rPr>
                  <w:rStyle w:val="Hyperlink"/>
                </w:rPr>
                <w:t>Full Article</w:t>
              </w:r>
            </w:hyperlink>
            <w:r w:rsidRPr="005E54EF">
              <w:t> on which the summary above is based</w:t>
            </w:r>
          </w:p>
          <w:p w14:paraId="36D689EF" w14:textId="77777777" w:rsidR="00903166" w:rsidRPr="005E54EF" w:rsidRDefault="00903166" w:rsidP="00903166">
            <w:pPr>
              <w:numPr>
                <w:ilvl w:val="1"/>
                <w:numId w:val="6"/>
              </w:numPr>
            </w:pPr>
            <w:r w:rsidRPr="005E54EF">
              <w:t>Smith, I., et al. (2022). “On the use of ‘cool roofs’ to reduce residential heat exposure disparities in Boston, MA.” </w:t>
            </w:r>
            <w:hyperlink r:id="rId20" w:history="1">
              <w:r w:rsidRPr="005E54EF">
                <w:rPr>
                  <w:rStyle w:val="Hyperlink"/>
                </w:rPr>
                <w:t>pdf</w:t>
              </w:r>
            </w:hyperlink>
          </w:p>
          <w:p w14:paraId="5F766579" w14:textId="77777777" w:rsidR="00903166" w:rsidRPr="005E54EF" w:rsidRDefault="00903166" w:rsidP="00903166">
            <w:pPr>
              <w:numPr>
                <w:ilvl w:val="2"/>
                <w:numId w:val="6"/>
              </w:numPr>
            </w:pPr>
            <w:r w:rsidRPr="005E54EF">
              <w:t>Smith, I., et al. (2023). “Urban green space and albedo impacts on surface temperature across seven United States cities.” </w:t>
            </w:r>
            <w:r w:rsidRPr="005E54EF">
              <w:rPr>
                <w:i/>
                <w:iCs/>
              </w:rPr>
              <w:t>Science of the Total Environment, 8</w:t>
            </w:r>
            <w:r w:rsidRPr="005E54EF">
              <w:t>(3), 1-12. </w:t>
            </w:r>
            <w:hyperlink r:id="rId21" w:history="1">
              <w:r w:rsidRPr="005E54EF">
                <w:rPr>
                  <w:rStyle w:val="Hyperlink"/>
                </w:rPr>
                <w:t>link to pdf</w:t>
              </w:r>
            </w:hyperlink>
            <w:r w:rsidRPr="005E54EF">
              <w:t xml:space="preserve"> (Full article on which the white paper above is based)</w:t>
            </w:r>
          </w:p>
        </w:tc>
      </w:tr>
    </w:tbl>
    <w:p w14:paraId="33241AC5" w14:textId="77777777" w:rsidR="00903166" w:rsidRDefault="00903166"/>
    <w:p w14:paraId="1E00E9CA" w14:textId="77777777" w:rsidR="003405BB" w:rsidRDefault="003405BB"/>
    <w:p w14:paraId="67A703FA" w14:textId="77777777" w:rsidR="003405BB" w:rsidRDefault="003405BB"/>
    <w:p w14:paraId="1BB150FD" w14:textId="08E63546" w:rsidR="003405BB" w:rsidRPr="00C72C86" w:rsidRDefault="003405BB" w:rsidP="003405BB">
      <w:pPr>
        <w:rPr>
          <w:b/>
          <w:bCs/>
        </w:rPr>
      </w:pPr>
      <w:r w:rsidRPr="005E54EF">
        <w:rPr>
          <w:u w:val="single"/>
        </w:rPr>
        <w:t>Session 3 – Policy Briefs and White Papers</w:t>
      </w:r>
      <w:r w:rsidR="00C72C86">
        <w:rPr>
          <w:b/>
          <w:bCs/>
        </w:rPr>
        <w:t xml:space="preserve"> – Tuesday, March 17, 3-4pm</w:t>
      </w:r>
    </w:p>
    <w:p w14:paraId="7C7CC2D0" w14:textId="77777777" w:rsidR="003405BB" w:rsidRPr="005E54EF" w:rsidRDefault="003405BB" w:rsidP="003405BB">
      <w:pPr>
        <w:pStyle w:val="ListParagraph"/>
        <w:numPr>
          <w:ilvl w:val="0"/>
          <w:numId w:val="7"/>
        </w:numPr>
      </w:pPr>
      <w:r w:rsidRPr="005E54EF">
        <w:t>Discuss purpose and structure of policy briefs</w:t>
      </w:r>
    </w:p>
    <w:p w14:paraId="594A9BA6" w14:textId="77777777" w:rsidR="003405BB" w:rsidRDefault="003405BB" w:rsidP="003405BB">
      <w:pPr>
        <w:pStyle w:val="ListParagraph"/>
        <w:numPr>
          <w:ilvl w:val="0"/>
          <w:numId w:val="7"/>
        </w:numPr>
      </w:pPr>
      <w:r w:rsidRPr="005E54EF">
        <w:t>Compare white papers and policy briefs</w:t>
      </w:r>
    </w:p>
    <w:p w14:paraId="3F478A62" w14:textId="77777777" w:rsidR="003405BB" w:rsidRDefault="003405BB" w:rsidP="003405BB"/>
    <w:tbl>
      <w:tblPr>
        <w:tblStyle w:val="TableGrid"/>
        <w:tblW w:w="0" w:type="auto"/>
        <w:tblLook w:val="04A0" w:firstRow="1" w:lastRow="0" w:firstColumn="1" w:lastColumn="0" w:noHBand="0" w:noVBand="1"/>
      </w:tblPr>
      <w:tblGrid>
        <w:gridCol w:w="10070"/>
      </w:tblGrid>
      <w:tr w:rsidR="003405BB" w14:paraId="55754E58" w14:textId="77777777" w:rsidTr="003405BB">
        <w:tc>
          <w:tcPr>
            <w:tcW w:w="10070" w:type="dxa"/>
          </w:tcPr>
          <w:p w14:paraId="6A1D907D" w14:textId="77777777" w:rsidR="003405BB" w:rsidRPr="005E54EF" w:rsidRDefault="003405BB" w:rsidP="003405BB">
            <w:pPr>
              <w:rPr>
                <w:u w:val="single"/>
              </w:rPr>
            </w:pPr>
            <w:r w:rsidRPr="005E54EF">
              <w:rPr>
                <w:u w:val="single"/>
              </w:rPr>
              <w:t>Assignment (for next time):</w:t>
            </w:r>
          </w:p>
          <w:p w14:paraId="0F5A2424" w14:textId="63B89DC5" w:rsidR="003405BB" w:rsidRDefault="003405BB" w:rsidP="003405BB">
            <w:pPr>
              <w:pStyle w:val="ListParagraph"/>
              <w:numPr>
                <w:ilvl w:val="0"/>
                <w:numId w:val="13"/>
              </w:numPr>
            </w:pPr>
            <w:r w:rsidRPr="003405BB">
              <w:t>Find an example of a policy brief or white paper that is relevant to your field (or internship); and email a copy/link to the </w:t>
            </w:r>
            <w:r w:rsidRPr="00C62370">
              <w:rPr>
                <w:i/>
                <w:iCs/>
                <w:u w:val="single"/>
              </w:rPr>
              <w:t>group</w:t>
            </w:r>
            <w:r w:rsidRPr="003405BB">
              <w:t> </w:t>
            </w:r>
            <w:r w:rsidR="00030A63">
              <w:t>at least two full days before next meeting</w:t>
            </w:r>
          </w:p>
          <w:p w14:paraId="5A1AE94E" w14:textId="493BA8EF" w:rsidR="003405BB" w:rsidRDefault="003405BB" w:rsidP="003405BB">
            <w:pPr>
              <w:pStyle w:val="ListParagraph"/>
              <w:numPr>
                <w:ilvl w:val="0"/>
                <w:numId w:val="13"/>
              </w:numPr>
            </w:pPr>
            <w:r>
              <w:t>Skim over the policy briefs/white papers shared by your colleagues – for each one, imagine you are a legislative staffer: if something piques your interest, read more; otherwise, take 2-minutes per</w:t>
            </w:r>
            <w:r w:rsidR="00C62370">
              <w:t xml:space="preserve"> brief/paper</w:t>
            </w:r>
          </w:p>
        </w:tc>
      </w:tr>
    </w:tbl>
    <w:p w14:paraId="0A70077A" w14:textId="77777777" w:rsidR="003405BB" w:rsidRDefault="003405BB" w:rsidP="003405BB"/>
    <w:p w14:paraId="629A8B26" w14:textId="77777777" w:rsidR="00642361" w:rsidRDefault="00642361" w:rsidP="003405BB"/>
    <w:p w14:paraId="2DAF9EB7" w14:textId="77777777" w:rsidR="003405BB" w:rsidRDefault="003405BB" w:rsidP="003405BB"/>
    <w:p w14:paraId="5DD36506" w14:textId="63DD046E" w:rsidR="003405BB" w:rsidRPr="00C72C86" w:rsidRDefault="003405BB" w:rsidP="003405BB">
      <w:pPr>
        <w:rPr>
          <w:b/>
          <w:bCs/>
        </w:rPr>
      </w:pPr>
      <w:r w:rsidRPr="003405BB">
        <w:rPr>
          <w:u w:val="single"/>
        </w:rPr>
        <w:t>Session 4 – Policy Briefs and White Papers Follow-up</w:t>
      </w:r>
      <w:r w:rsidR="00C72C86">
        <w:rPr>
          <w:b/>
          <w:bCs/>
        </w:rPr>
        <w:t xml:space="preserve"> – Tuesday, March 31, 3-4pm</w:t>
      </w:r>
    </w:p>
    <w:p w14:paraId="5A72B37B" w14:textId="4CBFEDB2" w:rsidR="00C62370" w:rsidRPr="005E54EF" w:rsidRDefault="00C62370" w:rsidP="00C62370">
      <w:pPr>
        <w:pStyle w:val="ListParagraph"/>
        <w:numPr>
          <w:ilvl w:val="0"/>
          <w:numId w:val="7"/>
        </w:numPr>
      </w:pPr>
      <w:r>
        <w:t>Evaluate the policy briefs and white papers that were shared (your own included)</w:t>
      </w:r>
    </w:p>
    <w:p w14:paraId="7D5C52AB" w14:textId="24B95C04" w:rsidR="00C62370" w:rsidRDefault="00C62370" w:rsidP="00C62370">
      <w:pPr>
        <w:pStyle w:val="ListParagraph"/>
        <w:numPr>
          <w:ilvl w:val="0"/>
          <w:numId w:val="7"/>
        </w:numPr>
      </w:pPr>
      <w:r>
        <w:t>What could you achieve with a policy brief or white paper based on your own work?</w:t>
      </w:r>
    </w:p>
    <w:p w14:paraId="1E421356" w14:textId="77777777" w:rsidR="003405BB" w:rsidRPr="005E54EF" w:rsidRDefault="003405BB" w:rsidP="003405BB"/>
    <w:tbl>
      <w:tblPr>
        <w:tblStyle w:val="TableGrid"/>
        <w:tblW w:w="0" w:type="auto"/>
        <w:tblLook w:val="04A0" w:firstRow="1" w:lastRow="0" w:firstColumn="1" w:lastColumn="0" w:noHBand="0" w:noVBand="1"/>
      </w:tblPr>
      <w:tblGrid>
        <w:gridCol w:w="10070"/>
      </w:tblGrid>
      <w:tr w:rsidR="003405BB" w:rsidRPr="005E54EF" w14:paraId="0AA5ECE7" w14:textId="77777777" w:rsidTr="005745EE">
        <w:tc>
          <w:tcPr>
            <w:tcW w:w="10070" w:type="dxa"/>
          </w:tcPr>
          <w:p w14:paraId="67EC9086" w14:textId="77777777" w:rsidR="003405BB" w:rsidRPr="005E54EF" w:rsidRDefault="003405BB" w:rsidP="005745EE">
            <w:pPr>
              <w:rPr>
                <w:u w:val="single"/>
              </w:rPr>
            </w:pPr>
            <w:r w:rsidRPr="005E54EF">
              <w:rPr>
                <w:u w:val="single"/>
              </w:rPr>
              <w:t>Assignment (for next time):</w:t>
            </w:r>
          </w:p>
          <w:p w14:paraId="79714D0D" w14:textId="77777777" w:rsidR="003405BB" w:rsidRPr="005E54EF" w:rsidRDefault="003405BB" w:rsidP="003405BB">
            <w:pPr>
              <w:pStyle w:val="ListParagraph"/>
              <w:numPr>
                <w:ilvl w:val="0"/>
                <w:numId w:val="8"/>
              </w:numPr>
            </w:pPr>
            <w:r w:rsidRPr="005E54EF">
              <w:t xml:space="preserve">Start drafting an outline of “Problem, Action, Impact” for the </w:t>
            </w:r>
            <w:hyperlink r:id="rId22" w:history="1">
              <w:r w:rsidRPr="005E54EF">
                <w:rPr>
                  <w:rStyle w:val="Hyperlink"/>
                </w:rPr>
                <w:t>Internship Write-Up</w:t>
              </w:r>
            </w:hyperlink>
            <w:r w:rsidRPr="005E54EF">
              <w:t xml:space="preserve"> and Lightning Talk (neither assignment is due next class, just start crafting the message th</w:t>
            </w:r>
            <w:r>
              <w:t>at</w:t>
            </w:r>
            <w:r w:rsidRPr="005E54EF">
              <w:t xml:space="preserve"> represents the work of your internship)</w:t>
            </w:r>
          </w:p>
        </w:tc>
      </w:tr>
    </w:tbl>
    <w:p w14:paraId="6D52C736" w14:textId="77777777" w:rsidR="003405BB" w:rsidRDefault="003405BB"/>
    <w:p w14:paraId="6E8ABECB" w14:textId="77777777" w:rsidR="00642361" w:rsidRDefault="00642361"/>
    <w:p w14:paraId="63C8808E" w14:textId="77777777" w:rsidR="003405BB" w:rsidRDefault="003405BB"/>
    <w:p w14:paraId="141322B2" w14:textId="1FB239EB" w:rsidR="003405BB" w:rsidRPr="00C72C86" w:rsidRDefault="003405BB" w:rsidP="003405BB">
      <w:pPr>
        <w:rPr>
          <w:b/>
          <w:bCs/>
        </w:rPr>
      </w:pPr>
      <w:r w:rsidRPr="005E54EF">
        <w:rPr>
          <w:u w:val="single"/>
        </w:rPr>
        <w:t xml:space="preserve">Session </w:t>
      </w:r>
      <w:r w:rsidR="00642361">
        <w:rPr>
          <w:u w:val="single"/>
        </w:rPr>
        <w:t>5</w:t>
      </w:r>
      <w:r w:rsidRPr="005E54EF">
        <w:rPr>
          <w:u w:val="single"/>
        </w:rPr>
        <w:t xml:space="preserve"> – Internship Impacts</w:t>
      </w:r>
      <w:r w:rsidR="00C72C86">
        <w:rPr>
          <w:b/>
          <w:bCs/>
        </w:rPr>
        <w:t xml:space="preserve"> – Tuesday, April 14, 3-4pm</w:t>
      </w:r>
    </w:p>
    <w:p w14:paraId="3D26C920" w14:textId="77777777" w:rsidR="003405BB" w:rsidRPr="005E54EF" w:rsidRDefault="003405BB" w:rsidP="003405BB">
      <w:pPr>
        <w:pStyle w:val="ListParagraph"/>
        <w:numPr>
          <w:ilvl w:val="0"/>
          <w:numId w:val="9"/>
        </w:numPr>
      </w:pPr>
      <w:r w:rsidRPr="005E54EF">
        <w:t>Communicating the work of your internship</w:t>
      </w:r>
    </w:p>
    <w:p w14:paraId="13FEAEE3" w14:textId="77777777" w:rsidR="003405BB" w:rsidRPr="005E54EF" w:rsidRDefault="003405BB" w:rsidP="003405BB">
      <w:pPr>
        <w:pStyle w:val="ListParagraph"/>
        <w:numPr>
          <w:ilvl w:val="0"/>
          <w:numId w:val="9"/>
        </w:numPr>
      </w:pPr>
      <w:r w:rsidRPr="005E54EF">
        <w:t>Internship Write-Up Assignment</w:t>
      </w:r>
    </w:p>
    <w:p w14:paraId="2C880146" w14:textId="77777777" w:rsidR="003405BB" w:rsidRDefault="003405BB" w:rsidP="003405BB">
      <w:pPr>
        <w:pStyle w:val="ListParagraph"/>
        <w:numPr>
          <w:ilvl w:val="0"/>
          <w:numId w:val="9"/>
        </w:numPr>
      </w:pPr>
      <w:r w:rsidRPr="005E54EF">
        <w:t>Lightning Talk Overview</w:t>
      </w:r>
    </w:p>
    <w:p w14:paraId="78A5A6DA" w14:textId="77777777" w:rsidR="003405BB" w:rsidRPr="005E54EF" w:rsidRDefault="003405BB" w:rsidP="003405BB"/>
    <w:tbl>
      <w:tblPr>
        <w:tblStyle w:val="TableGrid"/>
        <w:tblW w:w="0" w:type="auto"/>
        <w:tblLook w:val="04A0" w:firstRow="1" w:lastRow="0" w:firstColumn="1" w:lastColumn="0" w:noHBand="0" w:noVBand="1"/>
      </w:tblPr>
      <w:tblGrid>
        <w:gridCol w:w="10070"/>
      </w:tblGrid>
      <w:tr w:rsidR="003405BB" w:rsidRPr="005E54EF" w14:paraId="2ED80CD6" w14:textId="77777777" w:rsidTr="005745EE">
        <w:tc>
          <w:tcPr>
            <w:tcW w:w="10070" w:type="dxa"/>
          </w:tcPr>
          <w:p w14:paraId="05FF03E4" w14:textId="77777777" w:rsidR="003405BB" w:rsidRPr="005E54EF" w:rsidRDefault="003405BB" w:rsidP="005745EE">
            <w:pPr>
              <w:rPr>
                <w:u w:val="single"/>
              </w:rPr>
            </w:pPr>
            <w:r w:rsidRPr="005E54EF">
              <w:rPr>
                <w:u w:val="single"/>
              </w:rPr>
              <w:t>Assignment (for next time):</w:t>
            </w:r>
          </w:p>
          <w:p w14:paraId="2344FDB3" w14:textId="77777777" w:rsidR="003405BB" w:rsidRPr="005E54EF" w:rsidRDefault="003405BB" w:rsidP="003405BB">
            <w:pPr>
              <w:pStyle w:val="ListParagraph"/>
              <w:numPr>
                <w:ilvl w:val="0"/>
                <w:numId w:val="10"/>
              </w:numPr>
            </w:pPr>
            <w:r w:rsidRPr="005E54EF">
              <w:t xml:space="preserve">Complete an </w:t>
            </w:r>
            <w:hyperlink r:id="rId23" w:history="1">
              <w:r w:rsidRPr="005E54EF">
                <w:rPr>
                  <w:rStyle w:val="Hyperlink"/>
                </w:rPr>
                <w:t>Internship Write-Up</w:t>
              </w:r>
            </w:hyperlink>
            <w:r w:rsidRPr="005E54EF">
              <w:t xml:space="preserve"> and email it to </w:t>
            </w:r>
            <w:hyperlink r:id="rId24" w:history="1">
              <w:r w:rsidRPr="005E54EF">
                <w:rPr>
                  <w:rStyle w:val="Hyperlink"/>
                </w:rPr>
                <w:t>urban@bu.edu</w:t>
              </w:r>
            </w:hyperlink>
            <w:r w:rsidRPr="005E54EF">
              <w:t xml:space="preserve"> </w:t>
            </w:r>
          </w:p>
          <w:p w14:paraId="28C57486" w14:textId="77777777" w:rsidR="003405BB" w:rsidRPr="005E54EF" w:rsidRDefault="003405BB" w:rsidP="003405BB">
            <w:pPr>
              <w:pStyle w:val="ListParagraph"/>
              <w:numPr>
                <w:ilvl w:val="0"/>
                <w:numId w:val="10"/>
              </w:numPr>
            </w:pPr>
            <w:r w:rsidRPr="005E54EF">
              <w:t xml:space="preserve">Complete your </w:t>
            </w:r>
            <w:hyperlink r:id="rId25" w:history="1">
              <w:r w:rsidRPr="005E54EF">
                <w:rPr>
                  <w:rStyle w:val="Hyperlink"/>
                </w:rPr>
                <w:t>slides</w:t>
              </w:r>
            </w:hyperlink>
            <w:r w:rsidRPr="005E54EF">
              <w:t xml:space="preserve"> for the Lightning Talk and practice.  We will be presenting (and recording) the talks next session.  The recording of your talk will ultimately be </w:t>
            </w:r>
            <w:r w:rsidRPr="005E54EF">
              <w:rPr>
                <w:i/>
                <w:iCs/>
              </w:rPr>
              <w:t>public</w:t>
            </w:r>
            <w:r w:rsidRPr="005E54EF">
              <w:t> – posted on the URBAN website and our YouTube channel. Plan accordingly. If there are things you can’t share publicly yet, aim for something higher-level that still explains the problem and the general outline of what you worked on.</w:t>
            </w:r>
          </w:p>
          <w:p w14:paraId="3A1410DF" w14:textId="2EB9D052" w:rsidR="003405BB" w:rsidRPr="005E54EF" w:rsidRDefault="003405BB" w:rsidP="003405BB">
            <w:pPr>
              <w:pStyle w:val="ListParagraph"/>
              <w:numPr>
                <w:ilvl w:val="0"/>
                <w:numId w:val="10"/>
              </w:numPr>
            </w:pPr>
            <w:r w:rsidRPr="005E54EF">
              <w:t xml:space="preserve">If you’d like feedback on the slides, please email them to </w:t>
            </w:r>
            <w:hyperlink r:id="rId26" w:history="1">
              <w:r w:rsidRPr="005E54EF">
                <w:rPr>
                  <w:rStyle w:val="Hyperlink"/>
                </w:rPr>
                <w:t>urban@bu.edu</w:t>
              </w:r>
            </w:hyperlink>
            <w:r w:rsidRPr="005E54EF">
              <w:t xml:space="preserve"> </w:t>
            </w:r>
            <w:r w:rsidR="00030A63">
              <w:t>at least two days before next meeting.</w:t>
            </w:r>
          </w:p>
        </w:tc>
      </w:tr>
    </w:tbl>
    <w:p w14:paraId="4E245379" w14:textId="77777777" w:rsidR="003405BB" w:rsidRDefault="003405BB"/>
    <w:p w14:paraId="16F0C6A9" w14:textId="6FA8D754" w:rsidR="003405BB" w:rsidRPr="00C72C86" w:rsidRDefault="003405BB" w:rsidP="003405BB">
      <w:pPr>
        <w:rPr>
          <w:b/>
          <w:bCs/>
        </w:rPr>
      </w:pPr>
      <w:r w:rsidRPr="005E54EF">
        <w:rPr>
          <w:u w:val="single"/>
        </w:rPr>
        <w:t xml:space="preserve">Session </w:t>
      </w:r>
      <w:r w:rsidR="00642361">
        <w:rPr>
          <w:u w:val="single"/>
        </w:rPr>
        <w:t>6</w:t>
      </w:r>
      <w:r w:rsidRPr="005E54EF">
        <w:rPr>
          <w:u w:val="single"/>
        </w:rPr>
        <w:t xml:space="preserve"> – Stakeholder Presentations</w:t>
      </w:r>
      <w:r w:rsidR="00C72C86">
        <w:rPr>
          <w:b/>
          <w:bCs/>
        </w:rPr>
        <w:t xml:space="preserve"> – Tuesday, April 28, 3-4pm</w:t>
      </w:r>
    </w:p>
    <w:p w14:paraId="2E020CD9" w14:textId="77777777" w:rsidR="003405BB" w:rsidRPr="005E54EF" w:rsidRDefault="003405BB" w:rsidP="003405BB">
      <w:pPr>
        <w:pStyle w:val="ListParagraph"/>
        <w:numPr>
          <w:ilvl w:val="0"/>
          <w:numId w:val="11"/>
        </w:numPr>
      </w:pPr>
      <w:r w:rsidRPr="005E54EF">
        <w:t>Give Lightning Talk</w:t>
      </w:r>
    </w:p>
    <w:p w14:paraId="1FB3B74D" w14:textId="77777777" w:rsidR="003405BB" w:rsidRPr="005E54EF" w:rsidRDefault="003405BB" w:rsidP="003405BB">
      <w:pPr>
        <w:pStyle w:val="ListParagraph"/>
        <w:numPr>
          <w:ilvl w:val="0"/>
          <w:numId w:val="11"/>
        </w:numPr>
      </w:pPr>
      <w:r w:rsidRPr="005E54EF">
        <w:t>Post-Internship Assessment</w:t>
      </w:r>
    </w:p>
    <w:p w14:paraId="4C8BCFFA" w14:textId="77777777" w:rsidR="003405BB" w:rsidRDefault="003405BB" w:rsidP="003405BB">
      <w:pPr>
        <w:pStyle w:val="ListParagraph"/>
        <w:numPr>
          <w:ilvl w:val="0"/>
          <w:numId w:val="11"/>
        </w:numPr>
      </w:pPr>
      <w:r w:rsidRPr="005E54EF">
        <w:t>Course Evaluation</w:t>
      </w:r>
    </w:p>
    <w:p w14:paraId="2056A11E" w14:textId="77777777" w:rsidR="00642361" w:rsidRPr="005E54EF" w:rsidRDefault="00642361" w:rsidP="00642361"/>
    <w:tbl>
      <w:tblPr>
        <w:tblStyle w:val="TableGrid"/>
        <w:tblW w:w="0" w:type="auto"/>
        <w:tblLook w:val="04A0" w:firstRow="1" w:lastRow="0" w:firstColumn="1" w:lastColumn="0" w:noHBand="0" w:noVBand="1"/>
      </w:tblPr>
      <w:tblGrid>
        <w:gridCol w:w="10070"/>
      </w:tblGrid>
      <w:tr w:rsidR="003405BB" w:rsidRPr="005E54EF" w14:paraId="06C45374" w14:textId="77777777" w:rsidTr="005745EE">
        <w:tc>
          <w:tcPr>
            <w:tcW w:w="10070" w:type="dxa"/>
          </w:tcPr>
          <w:p w14:paraId="2AB67CD8" w14:textId="77777777" w:rsidR="003405BB" w:rsidRPr="005E54EF" w:rsidRDefault="003405BB" w:rsidP="005745EE">
            <w:pPr>
              <w:rPr>
                <w:u w:val="single"/>
              </w:rPr>
            </w:pPr>
            <w:r w:rsidRPr="005E54EF">
              <w:rPr>
                <w:u w:val="single"/>
              </w:rPr>
              <w:t>Assignment (after class):</w:t>
            </w:r>
          </w:p>
          <w:p w14:paraId="35E027D6" w14:textId="77777777" w:rsidR="003405BB" w:rsidRPr="005E54EF" w:rsidRDefault="003405BB" w:rsidP="003405BB">
            <w:pPr>
              <w:pStyle w:val="ListParagraph"/>
              <w:numPr>
                <w:ilvl w:val="0"/>
                <w:numId w:val="12"/>
              </w:numPr>
            </w:pPr>
            <w:r w:rsidRPr="005E54EF">
              <w:t xml:space="preserve">Complete the </w:t>
            </w:r>
            <w:hyperlink r:id="rId27" w:history="1">
              <w:r w:rsidRPr="005E54EF">
                <w:rPr>
                  <w:rStyle w:val="Hyperlink"/>
                </w:rPr>
                <w:t>Post-Internship Assessment</w:t>
              </w:r>
            </w:hyperlink>
            <w:r w:rsidRPr="005E54EF">
              <w:t xml:space="preserve"> within a week of completing your internship</w:t>
            </w:r>
          </w:p>
          <w:p w14:paraId="73650D83" w14:textId="73978A47" w:rsidR="003405BB" w:rsidRPr="005E54EF" w:rsidRDefault="003405BB" w:rsidP="003405BB">
            <w:pPr>
              <w:pStyle w:val="ListParagraph"/>
              <w:numPr>
                <w:ilvl w:val="0"/>
                <w:numId w:val="12"/>
              </w:numPr>
            </w:pPr>
            <w:r w:rsidRPr="005E54EF">
              <w:t xml:space="preserve">Please complete the 795 Internship Course Evaluation Form </w:t>
            </w:r>
            <w:r w:rsidR="00030A63">
              <w:t xml:space="preserve">at the bottom of this website: </w:t>
            </w:r>
            <w:hyperlink r:id="rId28" w:history="1">
              <w:r w:rsidR="00030A63" w:rsidRPr="005655E3">
                <w:rPr>
                  <w:rStyle w:val="Hyperlink"/>
                </w:rPr>
                <w:t>https://sites.bu.edu/urban/current-students/internship-course/</w:t>
              </w:r>
            </w:hyperlink>
            <w:r w:rsidR="00030A63">
              <w:t xml:space="preserve"> </w:t>
            </w:r>
          </w:p>
        </w:tc>
      </w:tr>
    </w:tbl>
    <w:p w14:paraId="34C23C2B" w14:textId="77777777" w:rsidR="003405BB" w:rsidRPr="005E54EF" w:rsidRDefault="003405BB" w:rsidP="003405BB"/>
    <w:p w14:paraId="288BD17F" w14:textId="77777777" w:rsidR="003405BB" w:rsidRDefault="003405BB"/>
    <w:sectPr w:rsidR="003405BB" w:rsidSect="0090316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DC3"/>
    <w:multiLevelType w:val="hybridMultilevel"/>
    <w:tmpl w:val="4B0C837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77B7B"/>
    <w:multiLevelType w:val="hybridMultilevel"/>
    <w:tmpl w:val="9E34A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40C55"/>
    <w:multiLevelType w:val="hybridMultilevel"/>
    <w:tmpl w:val="A0381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D020A"/>
    <w:multiLevelType w:val="hybridMultilevel"/>
    <w:tmpl w:val="0626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47FA9"/>
    <w:multiLevelType w:val="hybridMultilevel"/>
    <w:tmpl w:val="06F67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D4539"/>
    <w:multiLevelType w:val="hybridMultilevel"/>
    <w:tmpl w:val="CC546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7185"/>
    <w:multiLevelType w:val="hybridMultilevel"/>
    <w:tmpl w:val="C01E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3102"/>
    <w:multiLevelType w:val="hybridMultilevel"/>
    <w:tmpl w:val="D0BC5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7429D"/>
    <w:multiLevelType w:val="hybridMultilevel"/>
    <w:tmpl w:val="AB94E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0667E"/>
    <w:multiLevelType w:val="hybridMultilevel"/>
    <w:tmpl w:val="B724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96C87"/>
    <w:multiLevelType w:val="hybridMultilevel"/>
    <w:tmpl w:val="DF0C5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C6A9F"/>
    <w:multiLevelType w:val="hybridMultilevel"/>
    <w:tmpl w:val="9F028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725B"/>
    <w:multiLevelType w:val="hybridMultilevel"/>
    <w:tmpl w:val="90C2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607219">
    <w:abstractNumId w:val="12"/>
  </w:num>
  <w:num w:numId="2" w16cid:durableId="78216527">
    <w:abstractNumId w:val="1"/>
  </w:num>
  <w:num w:numId="3" w16cid:durableId="500700813">
    <w:abstractNumId w:val="11"/>
  </w:num>
  <w:num w:numId="4" w16cid:durableId="2013219785">
    <w:abstractNumId w:val="0"/>
  </w:num>
  <w:num w:numId="5" w16cid:durableId="902061095">
    <w:abstractNumId w:val="5"/>
  </w:num>
  <w:num w:numId="6" w16cid:durableId="350648961">
    <w:abstractNumId w:val="4"/>
  </w:num>
  <w:num w:numId="7" w16cid:durableId="749230433">
    <w:abstractNumId w:val="7"/>
  </w:num>
  <w:num w:numId="8" w16cid:durableId="65274608">
    <w:abstractNumId w:val="6"/>
  </w:num>
  <w:num w:numId="9" w16cid:durableId="1187477735">
    <w:abstractNumId w:val="2"/>
  </w:num>
  <w:num w:numId="10" w16cid:durableId="2046904823">
    <w:abstractNumId w:val="9"/>
  </w:num>
  <w:num w:numId="11" w16cid:durableId="32199063">
    <w:abstractNumId w:val="8"/>
  </w:num>
  <w:num w:numId="12" w16cid:durableId="1289318753">
    <w:abstractNumId w:val="10"/>
  </w:num>
  <w:num w:numId="13" w16cid:durableId="1081223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3E"/>
    <w:rsid w:val="00030A63"/>
    <w:rsid w:val="001055BB"/>
    <w:rsid w:val="001B35C3"/>
    <w:rsid w:val="0024718F"/>
    <w:rsid w:val="003405BB"/>
    <w:rsid w:val="0040623E"/>
    <w:rsid w:val="004E1698"/>
    <w:rsid w:val="004F0C84"/>
    <w:rsid w:val="00586DD0"/>
    <w:rsid w:val="00642361"/>
    <w:rsid w:val="006540C7"/>
    <w:rsid w:val="00724981"/>
    <w:rsid w:val="007E6ECD"/>
    <w:rsid w:val="00867F10"/>
    <w:rsid w:val="00903166"/>
    <w:rsid w:val="00951A27"/>
    <w:rsid w:val="00953655"/>
    <w:rsid w:val="00C62370"/>
    <w:rsid w:val="00C72C86"/>
    <w:rsid w:val="00D96B14"/>
    <w:rsid w:val="00F85327"/>
    <w:rsid w:val="00FB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3A10F"/>
  <w15:chartTrackingRefBased/>
  <w15:docId w15:val="{63490B63-A89D-C844-84BD-FA2C075A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Body CS)"/>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3E"/>
  </w:style>
  <w:style w:type="paragraph" w:styleId="Heading1">
    <w:name w:val="heading 1"/>
    <w:basedOn w:val="Normal"/>
    <w:next w:val="Normal"/>
    <w:link w:val="Heading1Char"/>
    <w:uiPriority w:val="9"/>
    <w:qFormat/>
    <w:rsid w:val="00406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2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2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62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62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2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2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2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2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2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62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62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62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2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62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2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2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2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23E"/>
    <w:rPr>
      <w:i/>
      <w:iCs/>
      <w:color w:val="404040" w:themeColor="text1" w:themeTint="BF"/>
    </w:rPr>
  </w:style>
  <w:style w:type="paragraph" w:styleId="ListParagraph">
    <w:name w:val="List Paragraph"/>
    <w:basedOn w:val="Normal"/>
    <w:uiPriority w:val="34"/>
    <w:qFormat/>
    <w:rsid w:val="0040623E"/>
    <w:pPr>
      <w:ind w:left="720"/>
      <w:contextualSpacing/>
    </w:pPr>
  </w:style>
  <w:style w:type="character" w:styleId="IntenseEmphasis">
    <w:name w:val="Intense Emphasis"/>
    <w:basedOn w:val="DefaultParagraphFont"/>
    <w:uiPriority w:val="21"/>
    <w:qFormat/>
    <w:rsid w:val="0040623E"/>
    <w:rPr>
      <w:i/>
      <w:iCs/>
      <w:color w:val="2F5496" w:themeColor="accent1" w:themeShade="BF"/>
    </w:rPr>
  </w:style>
  <w:style w:type="paragraph" w:styleId="IntenseQuote">
    <w:name w:val="Intense Quote"/>
    <w:basedOn w:val="Normal"/>
    <w:next w:val="Normal"/>
    <w:link w:val="IntenseQuoteChar"/>
    <w:uiPriority w:val="30"/>
    <w:qFormat/>
    <w:rsid w:val="00406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23E"/>
    <w:rPr>
      <w:i/>
      <w:iCs/>
      <w:color w:val="2F5496" w:themeColor="accent1" w:themeShade="BF"/>
    </w:rPr>
  </w:style>
  <w:style w:type="character" w:styleId="IntenseReference">
    <w:name w:val="Intense Reference"/>
    <w:basedOn w:val="DefaultParagraphFont"/>
    <w:uiPriority w:val="32"/>
    <w:qFormat/>
    <w:rsid w:val="0040623E"/>
    <w:rPr>
      <w:b/>
      <w:bCs/>
      <w:smallCaps/>
      <w:color w:val="2F5496" w:themeColor="accent1" w:themeShade="BF"/>
      <w:spacing w:val="5"/>
    </w:rPr>
  </w:style>
  <w:style w:type="character" w:styleId="Hyperlink">
    <w:name w:val="Hyperlink"/>
    <w:basedOn w:val="DefaultParagraphFont"/>
    <w:uiPriority w:val="99"/>
    <w:unhideWhenUsed/>
    <w:rsid w:val="0040623E"/>
    <w:rPr>
      <w:color w:val="0563C1" w:themeColor="hyperlink"/>
      <w:u w:val="single"/>
    </w:rPr>
  </w:style>
  <w:style w:type="table" w:styleId="TableGrid">
    <w:name w:val="Table Grid"/>
    <w:basedOn w:val="TableNormal"/>
    <w:uiPriority w:val="39"/>
    <w:rsid w:val="0090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3166"/>
    <w:pPr>
      <w:widowControl w:val="0"/>
      <w:autoSpaceDE w:val="0"/>
      <w:autoSpaceDN w:val="0"/>
      <w:spacing w:before="42"/>
      <w:ind w:left="101"/>
    </w:pPr>
    <w:rPr>
      <w:rFonts w:ascii="Calibri" w:eastAsia="Calibri" w:hAnsi="Calibri" w:cs="Calibri"/>
      <w:kern w:val="0"/>
      <w14:ligatures w14:val="none"/>
    </w:rPr>
  </w:style>
  <w:style w:type="table" w:styleId="ListTable3">
    <w:name w:val="List Table 3"/>
    <w:basedOn w:val="TableNormal"/>
    <w:uiPriority w:val="48"/>
    <w:rsid w:val="00903166"/>
    <w:pPr>
      <w:widowControl w:val="0"/>
      <w:autoSpaceDE w:val="0"/>
      <w:autoSpaceDN w:val="0"/>
    </w:pPr>
    <w:rPr>
      <w:rFonts w:ascii="Calibri" w:hAnsi="Calibr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642361"/>
    <w:rPr>
      <w:color w:val="954F72" w:themeColor="followedHyperlink"/>
      <w:u w:val="single"/>
    </w:rPr>
  </w:style>
  <w:style w:type="character" w:styleId="UnresolvedMention">
    <w:name w:val="Unresolved Mention"/>
    <w:basedOn w:val="DefaultParagraphFont"/>
    <w:uiPriority w:val="99"/>
    <w:semiHidden/>
    <w:unhideWhenUsed/>
    <w:rsid w:val="00030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bu.edu/urban/pre-internship-assessment/" TargetMode="External"/><Relationship Id="rId13" Type="http://schemas.openxmlformats.org/officeDocument/2006/relationships/hyperlink" Target="https://www.dropbox.com/scl/fi/9bew1eh4uil85nyt30edw/Atherton_etal_JSPG_18-4_final.pdf?rlkey=eeechailo5ff3vmo27k9p5oxv&amp;dl=0" TargetMode="External"/><Relationship Id="rId18" Type="http://schemas.openxmlformats.org/officeDocument/2006/relationships/hyperlink" Target="https://blogs.worldbank.org/impactevaluations/8-lessons-how-influence-policy-evidence-oxfam-s-experience" TargetMode="External"/><Relationship Id="rId26" Type="http://schemas.openxmlformats.org/officeDocument/2006/relationships/hyperlink" Target="mailto:urban@bu.edu" TargetMode="External"/><Relationship Id="rId3" Type="http://schemas.openxmlformats.org/officeDocument/2006/relationships/settings" Target="settings.xml"/><Relationship Id="rId21" Type="http://schemas.openxmlformats.org/officeDocument/2006/relationships/hyperlink" Target="https://media.wbur.org/wp/2022/11/Smith_Fabian_Hutyra_2023.pdf" TargetMode="External"/><Relationship Id="rId7" Type="http://schemas.openxmlformats.org/officeDocument/2006/relationships/hyperlink" Target="https://calendly.com/ewalton-urban/" TargetMode="External"/><Relationship Id="rId12" Type="http://schemas.openxmlformats.org/officeDocument/2006/relationships/hyperlink" Target="https://sustainableearthreviews.biomedcentral.com/counter/pdf/10.1186/s42055-024-00074-x.pdf" TargetMode="External"/><Relationship Id="rId17" Type="http://schemas.openxmlformats.org/officeDocument/2006/relationships/hyperlink" Target="https://writingcenter.gmu.edu/writing-resources/different-genres/white-papers" TargetMode="External"/><Relationship Id="rId25" Type="http://schemas.openxmlformats.org/officeDocument/2006/relationships/hyperlink" Target="https://sites.bu.edu/urban/files/2025/05/URBAN_Internships_LightningTalk_Template.pptx" TargetMode="External"/><Relationship Id="rId2" Type="http://schemas.openxmlformats.org/officeDocument/2006/relationships/styles" Target="styles.xml"/><Relationship Id="rId16" Type="http://schemas.openxmlformats.org/officeDocument/2006/relationships/hyperlink" Target="https://medium.com/scitech-forefront/sharing-the-benefits-of-offshore-wind-in-massachusetts-96960fb24278" TargetMode="External"/><Relationship Id="rId20" Type="http://schemas.openxmlformats.org/officeDocument/2006/relationships/hyperlink" Target="https://hdl.handle.net/2144/453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stonu.zoom.us/j/8543849902" TargetMode="External"/><Relationship Id="rId11" Type="http://schemas.openxmlformats.org/officeDocument/2006/relationships/hyperlink" Target="https://sites.bu.edu/urban/files/2020/06/Ramaswami-etal-16-Meta-principles.pdf" TargetMode="External"/><Relationship Id="rId24" Type="http://schemas.openxmlformats.org/officeDocument/2006/relationships/hyperlink" Target="mailto:urban@bu.edu" TargetMode="External"/><Relationship Id="rId5" Type="http://schemas.openxmlformats.org/officeDocument/2006/relationships/hyperlink" Target="mailto:urban@bu.edu" TargetMode="External"/><Relationship Id="rId15" Type="http://schemas.openxmlformats.org/officeDocument/2006/relationships/hyperlink" Target="https://www.dropbox.com/scl/fi/am9utigtrqq1otefzwvxk/Newport-News-Policy-Memo.pdf?rlkey=60srjl5ddpmv0yj4afnyojs65&amp;dl=0" TargetMode="External"/><Relationship Id="rId23" Type="http://schemas.openxmlformats.org/officeDocument/2006/relationships/hyperlink" Target="https://docs.google.com/document/d/1yLCOI50hYx4Le3ws212ZEQiW6jN4EZcr/edit?usp=sharing&amp;ouid=106093533358648006640&amp;rtpof=true&amp;sd=true" TargetMode="External"/><Relationship Id="rId28" Type="http://schemas.openxmlformats.org/officeDocument/2006/relationships/hyperlink" Target="https://sites.bu.edu/urban/current-students/internship-course/" TargetMode="External"/><Relationship Id="rId10" Type="http://schemas.openxmlformats.org/officeDocument/2006/relationships/hyperlink" Target="https://sites.bu.edu/urban/files/2020/06/Harman-etal-15-Urban-partnerships.pdf" TargetMode="External"/><Relationship Id="rId19" Type="http://schemas.openxmlformats.org/officeDocument/2006/relationships/hyperlink" Target="https://www.nature.com/articles/s41599-018-0176-7" TargetMode="External"/><Relationship Id="rId4" Type="http://schemas.openxmlformats.org/officeDocument/2006/relationships/webSettings" Target="webSettings.xml"/><Relationship Id="rId9" Type="http://schemas.openxmlformats.org/officeDocument/2006/relationships/hyperlink" Target="https://www.nature.com/articles/s42949-021-00024-y.pdf" TargetMode="External"/><Relationship Id="rId14" Type="http://schemas.openxmlformats.org/officeDocument/2006/relationships/hyperlink" Target="https://www.dropbox.com/scl/fi/yax5kp71rik4d6d6s5416/AAAS-STPF_Briefing-Memorandum_Tara-Miller.pdf?rlkey=xj5l6d8a90og7sexoj2x6ewle&amp;dl=0" TargetMode="External"/><Relationship Id="rId22" Type="http://schemas.openxmlformats.org/officeDocument/2006/relationships/hyperlink" Target="https://docs.google.com/document/d/1yLCOI50hYx4Le3ws212ZEQiW6jN4EZcr/edit?usp=sharing&amp;ouid=106093533358648006640&amp;rtpof=true&amp;sd=true" TargetMode="External"/><Relationship Id="rId27" Type="http://schemas.openxmlformats.org/officeDocument/2006/relationships/hyperlink" Target="https://sites.bu.edu/urban/post-internship-assess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1145</TotalTime>
  <Pages>4</Pages>
  <Words>1152</Words>
  <Characters>6793</Characters>
  <Application>Microsoft Office Word</Application>
  <DocSecurity>0</DocSecurity>
  <Lines>183</Lines>
  <Paragraphs>101</Paragraphs>
  <ScaleCrop>false</ScaleCrop>
  <HeadingPairs>
    <vt:vector size="2" baseType="variant">
      <vt:variant>
        <vt:lpstr>Title</vt:lpstr>
      </vt:variant>
      <vt:variant>
        <vt:i4>1</vt:i4>
      </vt:variant>
    </vt:vector>
  </HeadingPairs>
  <TitlesOfParts>
    <vt:vector size="1" baseType="lpstr">
      <vt:lpstr/>
    </vt:vector>
  </TitlesOfParts>
  <Company>BU URBAN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Walton</dc:creator>
  <cp:keywords/>
  <dc:description/>
  <cp:lastModifiedBy>Emily Walton</cp:lastModifiedBy>
  <cp:revision>5</cp:revision>
  <dcterms:created xsi:type="dcterms:W3CDTF">2026-01-09T18:42:00Z</dcterms:created>
  <dcterms:modified xsi:type="dcterms:W3CDTF">2026-02-03T17:18:00Z</dcterms:modified>
</cp:coreProperties>
</file>