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37" w:rsidRDefault="009F7337" w:rsidP="001C6B25">
      <w:pPr>
        <w:spacing w:line="240" w:lineRule="auto"/>
        <w:jc w:val="center"/>
        <w:rPr>
          <w:b/>
          <w:sz w:val="28"/>
          <w:szCs w:val="28"/>
        </w:rPr>
      </w:pPr>
      <w:proofErr w:type="spellStart"/>
      <w:r>
        <w:rPr>
          <w:b/>
          <w:sz w:val="28"/>
          <w:szCs w:val="28"/>
        </w:rPr>
        <w:t>Pardee</w:t>
      </w:r>
      <w:proofErr w:type="spellEnd"/>
      <w:r>
        <w:rPr>
          <w:b/>
          <w:sz w:val="28"/>
          <w:szCs w:val="28"/>
        </w:rPr>
        <w:t xml:space="preserve"> School of Global Studies</w:t>
      </w:r>
    </w:p>
    <w:p w:rsidR="00406D0B" w:rsidRDefault="00483E0A" w:rsidP="001C6B25">
      <w:pPr>
        <w:spacing w:line="240" w:lineRule="auto"/>
        <w:jc w:val="center"/>
        <w:rPr>
          <w:b/>
          <w:sz w:val="28"/>
          <w:szCs w:val="28"/>
        </w:rPr>
      </w:pPr>
      <w:r>
        <w:rPr>
          <w:b/>
          <w:sz w:val="28"/>
          <w:szCs w:val="28"/>
        </w:rPr>
        <w:t>IR 571</w:t>
      </w:r>
      <w:r w:rsidR="009F7337">
        <w:rPr>
          <w:b/>
          <w:sz w:val="28"/>
          <w:szCs w:val="28"/>
        </w:rPr>
        <w:t>:  “</w:t>
      </w:r>
      <w:r w:rsidR="00992222">
        <w:rPr>
          <w:b/>
          <w:sz w:val="28"/>
          <w:szCs w:val="28"/>
        </w:rPr>
        <w:t>Global Money</w:t>
      </w:r>
      <w:r w:rsidR="009F7337">
        <w:rPr>
          <w:b/>
          <w:sz w:val="28"/>
          <w:szCs w:val="28"/>
        </w:rPr>
        <w:t>”</w:t>
      </w:r>
    </w:p>
    <w:p w:rsidR="009F7337" w:rsidRDefault="009F7337" w:rsidP="001C6B25">
      <w:pPr>
        <w:spacing w:line="240" w:lineRule="auto"/>
        <w:jc w:val="center"/>
      </w:pPr>
      <w:r>
        <w:rPr>
          <w:b/>
          <w:sz w:val="28"/>
          <w:szCs w:val="28"/>
        </w:rPr>
        <w:t xml:space="preserve">MW </w:t>
      </w:r>
      <w:r w:rsidR="00827077">
        <w:rPr>
          <w:b/>
          <w:sz w:val="28"/>
          <w:szCs w:val="28"/>
        </w:rPr>
        <w:t>4:30-5:45</w:t>
      </w:r>
    </w:p>
    <w:p w:rsidR="00406D0B" w:rsidRDefault="00992222" w:rsidP="001C6B25">
      <w:pPr>
        <w:spacing w:line="240" w:lineRule="auto"/>
        <w:jc w:val="center"/>
      </w:pPr>
      <w:r>
        <w:t xml:space="preserve">Prof. </w:t>
      </w:r>
      <w:r w:rsidR="00406D0B">
        <w:t xml:space="preserve">Perry </w:t>
      </w:r>
      <w:proofErr w:type="spellStart"/>
      <w:r w:rsidR="00406D0B">
        <w:t>Mehrling</w:t>
      </w:r>
      <w:proofErr w:type="spellEnd"/>
    </w:p>
    <w:p w:rsidR="009F7337" w:rsidRDefault="009F7337" w:rsidP="009F7337">
      <w:pPr>
        <w:spacing w:line="240" w:lineRule="auto"/>
      </w:pPr>
      <w:r w:rsidRPr="009F7337">
        <w:rPr>
          <w:b/>
        </w:rPr>
        <w:t>Contact Information:</w:t>
      </w:r>
      <w:r>
        <w:t xml:space="preserve">  154 Bay State Road, #201B</w:t>
      </w:r>
      <w:proofErr w:type="gramStart"/>
      <w:r>
        <w:t>;</w:t>
      </w:r>
      <w:proofErr w:type="gramEnd"/>
      <w:r>
        <w:t xml:space="preserve"> </w:t>
      </w:r>
      <w:hyperlink r:id="rId4" w:history="1">
        <w:r w:rsidRPr="00661FA3">
          <w:rPr>
            <w:rStyle w:val="Hyperlink"/>
          </w:rPr>
          <w:t>pmehrling@bu.edu</w:t>
        </w:r>
      </w:hyperlink>
      <w:r>
        <w:t>, 617-353-7324</w:t>
      </w:r>
    </w:p>
    <w:p w:rsidR="00406D0B" w:rsidRDefault="009F7337" w:rsidP="00406D0B">
      <w:pPr>
        <w:spacing w:line="240" w:lineRule="auto"/>
      </w:pPr>
      <w:r w:rsidRPr="009F7337">
        <w:rPr>
          <w:b/>
        </w:rPr>
        <w:t>Office Hours:</w:t>
      </w:r>
      <w:r>
        <w:t xml:space="preserve">  Tuesday 1-3, Wednesday 2:30-3:30</w:t>
      </w:r>
    </w:p>
    <w:p w:rsidR="00406D0B" w:rsidRPr="00992222" w:rsidRDefault="00406D0B" w:rsidP="00406D0B">
      <w:pPr>
        <w:spacing w:line="240" w:lineRule="auto"/>
        <w:rPr>
          <w:b/>
        </w:rPr>
      </w:pPr>
      <w:r w:rsidRPr="00992222">
        <w:rPr>
          <w:b/>
        </w:rPr>
        <w:t>Course Description</w:t>
      </w:r>
      <w:r w:rsidR="009F7337">
        <w:rPr>
          <w:b/>
        </w:rPr>
        <w:t>:</w:t>
      </w:r>
    </w:p>
    <w:p w:rsidR="00B53AA3" w:rsidRDefault="00F12349" w:rsidP="00406D0B">
      <w:pPr>
        <w:spacing w:line="240" w:lineRule="auto"/>
      </w:pPr>
      <w:r w:rsidRPr="00992222">
        <w:t xml:space="preserve">This course develops an analytical framework for understanding the operations of key monetary and financial institutions in the modern global economy.  </w:t>
      </w:r>
      <w:r w:rsidR="00134AAD" w:rsidRPr="00992222">
        <w:t>In the first half</w:t>
      </w:r>
      <w:r w:rsidR="00CA093B">
        <w:t xml:space="preserve"> of the course</w:t>
      </w:r>
      <w:r w:rsidR="00134AAD" w:rsidRPr="00992222">
        <w:t>, s</w:t>
      </w:r>
      <w:r w:rsidRPr="00992222">
        <w:t xml:space="preserve">ettlement in the payments system and </w:t>
      </w:r>
      <w:proofErr w:type="gramStart"/>
      <w:r w:rsidRPr="00992222">
        <w:t>market-making</w:t>
      </w:r>
      <w:proofErr w:type="gramEnd"/>
      <w:r w:rsidRPr="00992222">
        <w:t xml:space="preserve"> in financial assets are the central focus of attention, at both national and international</w:t>
      </w:r>
      <w:r w:rsidR="002B3E60" w:rsidRPr="00992222">
        <w:t xml:space="preserve"> levels.  </w:t>
      </w:r>
      <w:r w:rsidR="00134AAD" w:rsidRPr="00992222">
        <w:t xml:space="preserve">The second half </w:t>
      </w:r>
      <w:r w:rsidR="00C43A6D">
        <w:t xml:space="preserve">then </w:t>
      </w:r>
      <w:r w:rsidR="006D715C">
        <w:t>uses this analytical framework as an entry</w:t>
      </w:r>
      <w:r w:rsidR="00052B14">
        <w:t xml:space="preserve"> </w:t>
      </w:r>
      <w:r w:rsidR="006D715C">
        <w:t xml:space="preserve">point for thinking about the </w:t>
      </w:r>
      <w:r w:rsidR="00DB1201">
        <w:t>current</w:t>
      </w:r>
      <w:r w:rsidR="00C43A6D">
        <w:t xml:space="preserve"> policy</w:t>
      </w:r>
      <w:r w:rsidR="00DB1201">
        <w:t xml:space="preserve"> </w:t>
      </w:r>
      <w:r w:rsidR="006D715C">
        <w:t>challenges of monetary and financial management</w:t>
      </w:r>
      <w:r w:rsidR="00DB1201">
        <w:t>, both north and south.</w:t>
      </w:r>
    </w:p>
    <w:p w:rsidR="002B3E60" w:rsidRPr="00992222" w:rsidRDefault="00B53AA3" w:rsidP="00406D0B">
      <w:pPr>
        <w:spacing w:line="240" w:lineRule="auto"/>
      </w:pPr>
      <w:r>
        <w:t xml:space="preserve">In the second half of the course, we will be reading six recently published books each of which </w:t>
      </w:r>
      <w:r w:rsidR="00247BE0">
        <w:t>speaks from a different place in the global money system.  The goal here is to translate what they say into the common language of the first part of the class, so we can integrate the multiple perspectives.  Toward that end, students will be producing group presentations on each book, and then choosing one book for a more in-depth review paper.</w:t>
      </w:r>
      <w:r w:rsidR="006D715C">
        <w:t xml:space="preserve"> </w:t>
      </w:r>
    </w:p>
    <w:p w:rsidR="002B3E60" w:rsidRPr="00992222" w:rsidRDefault="002B3E60" w:rsidP="002B3E60">
      <w:pPr>
        <w:pStyle w:val="DefaultText"/>
        <w:rPr>
          <w:rFonts w:asciiTheme="minorHAnsi" w:hAnsiTheme="minorHAnsi"/>
          <w:sz w:val="22"/>
          <w:szCs w:val="22"/>
        </w:rPr>
      </w:pPr>
      <w:r w:rsidRPr="00992222">
        <w:rPr>
          <w:rFonts w:asciiTheme="minorHAnsi" w:hAnsiTheme="minorHAnsi"/>
          <w:sz w:val="22"/>
          <w:szCs w:val="22"/>
        </w:rPr>
        <w:t>Students who complete this course will learn how to:</w:t>
      </w:r>
    </w:p>
    <w:p w:rsidR="002B3E60" w:rsidRPr="00992222" w:rsidRDefault="002B3E60" w:rsidP="002B3E60">
      <w:pPr>
        <w:contextualSpacing/>
      </w:pPr>
    </w:p>
    <w:p w:rsidR="002B3E60" w:rsidRPr="00992222" w:rsidRDefault="002B3E60" w:rsidP="002B3E60">
      <w:pPr>
        <w:ind w:left="720" w:hanging="720"/>
        <w:contextualSpacing/>
      </w:pPr>
      <w:r w:rsidRPr="00992222">
        <w:t xml:space="preserve">1) Read, understand, and evaluate professional discourse about the current operation of money markets at the level of the </w:t>
      </w:r>
      <w:r w:rsidRPr="00992222">
        <w:rPr>
          <w:u w:val="single"/>
        </w:rPr>
        <w:t>Financial Times</w:t>
      </w:r>
    </w:p>
    <w:p w:rsidR="002B3E60" w:rsidRPr="00992222" w:rsidRDefault="002B3E60" w:rsidP="002B3E60">
      <w:pPr>
        <w:ind w:left="720" w:hanging="720"/>
        <w:contextualSpacing/>
      </w:pPr>
      <w:r w:rsidRPr="00992222">
        <w:t>2) Follow an argument/analysis that uses balance sheet reasoning</w:t>
      </w:r>
    </w:p>
    <w:p w:rsidR="002B3E60" w:rsidRPr="00992222" w:rsidRDefault="002B3E60" w:rsidP="002B3E60">
      <w:pPr>
        <w:ind w:left="720" w:hanging="720"/>
        <w:contextualSpacing/>
      </w:pPr>
      <w:r w:rsidRPr="00992222">
        <w:t>3) Construct an argument/analysis that uses balance sheet reasoning</w:t>
      </w:r>
    </w:p>
    <w:p w:rsidR="002B3E60" w:rsidRPr="00992222" w:rsidRDefault="002B3E60" w:rsidP="002B3E60">
      <w:pPr>
        <w:ind w:left="720" w:hanging="720"/>
        <w:contextualSpacing/>
      </w:pPr>
      <w:r w:rsidRPr="00992222">
        <w:t>4) Use diverse primary historical texts to understand current events</w:t>
      </w:r>
    </w:p>
    <w:p w:rsidR="00406D0B" w:rsidRDefault="002B3E60" w:rsidP="00992222">
      <w:pPr>
        <w:ind w:left="720" w:hanging="720"/>
        <w:contextualSpacing/>
      </w:pPr>
      <w:r w:rsidRPr="00992222">
        <w:t>5) Understand the institutional structure of the dollar money markets, their connection to capital markets, and the mechanisms of central bank control</w:t>
      </w:r>
    </w:p>
    <w:p w:rsidR="00992222" w:rsidRPr="00992222" w:rsidRDefault="00992222" w:rsidP="00992222">
      <w:pPr>
        <w:ind w:left="720" w:hanging="720"/>
        <w:contextualSpacing/>
      </w:pPr>
    </w:p>
    <w:p w:rsidR="00406D0B" w:rsidRPr="00992222" w:rsidRDefault="00406D0B" w:rsidP="00406D0B">
      <w:pPr>
        <w:spacing w:line="240" w:lineRule="auto"/>
        <w:rPr>
          <w:b/>
        </w:rPr>
      </w:pPr>
      <w:r w:rsidRPr="00992222">
        <w:rPr>
          <w:b/>
        </w:rPr>
        <w:t>Prerequisites</w:t>
      </w:r>
    </w:p>
    <w:p w:rsidR="00F12349" w:rsidRDefault="00483E0A" w:rsidP="00406D0B">
      <w:pPr>
        <w:spacing w:line="240" w:lineRule="auto"/>
      </w:pPr>
      <w:r>
        <w:t>IR 399</w:t>
      </w:r>
      <w:r w:rsidR="00F12349">
        <w:t xml:space="preserve"> “Fundamentals of Global Money” or instructors permission</w:t>
      </w:r>
      <w:r w:rsidR="006F0093">
        <w:t>.  Background in economics to the intermediate theory level, and familiarity with the fundamentals of finance will help student to appreciate the value added by the course, but are not essential for successful completion.</w:t>
      </w:r>
    </w:p>
    <w:p w:rsidR="00406D0B" w:rsidRPr="006F0093" w:rsidRDefault="00406D0B" w:rsidP="00406D0B">
      <w:pPr>
        <w:spacing w:line="240" w:lineRule="auto"/>
        <w:rPr>
          <w:b/>
        </w:rPr>
      </w:pPr>
      <w:r w:rsidRPr="006F0093">
        <w:rPr>
          <w:b/>
        </w:rPr>
        <w:t>Grading</w:t>
      </w:r>
    </w:p>
    <w:p w:rsidR="006F0093" w:rsidRDefault="006F0093" w:rsidP="006F0093">
      <w:pPr>
        <w:spacing w:line="240" w:lineRule="auto"/>
      </w:pPr>
      <w:r>
        <w:t>A comprehensive midterm examination covering the first half of the course, 40%.</w:t>
      </w:r>
    </w:p>
    <w:p w:rsidR="00B53AA3" w:rsidRDefault="00B53AA3" w:rsidP="00406D0B">
      <w:pPr>
        <w:spacing w:line="240" w:lineRule="auto"/>
      </w:pPr>
      <w:r>
        <w:t xml:space="preserve">Group </w:t>
      </w:r>
      <w:r w:rsidR="00C43A6D">
        <w:t>Presentations (two)</w:t>
      </w:r>
      <w:r>
        <w:t>, 3</w:t>
      </w:r>
      <w:r w:rsidR="006F0093">
        <w:t xml:space="preserve">0%. </w:t>
      </w:r>
    </w:p>
    <w:p w:rsidR="00406D0B" w:rsidRDefault="00B53AA3" w:rsidP="00406D0B">
      <w:pPr>
        <w:spacing w:line="240" w:lineRule="auto"/>
      </w:pPr>
      <w:r>
        <w:t>Book Review, 10 pp., 30%</w:t>
      </w:r>
      <w:r w:rsidR="00822A80">
        <w:t>, due Friday April 30</w:t>
      </w:r>
      <w:r w:rsidR="006F0093">
        <w:t xml:space="preserve"> </w:t>
      </w:r>
    </w:p>
    <w:p w:rsidR="00247BE0" w:rsidRDefault="00247BE0" w:rsidP="00406D0B">
      <w:pPr>
        <w:spacing w:line="240" w:lineRule="auto"/>
        <w:rPr>
          <w:b/>
        </w:rPr>
      </w:pPr>
    </w:p>
    <w:p w:rsidR="00247BE0" w:rsidRDefault="00247BE0" w:rsidP="00406D0B">
      <w:pPr>
        <w:spacing w:line="240" w:lineRule="auto"/>
        <w:rPr>
          <w:b/>
        </w:rPr>
      </w:pPr>
    </w:p>
    <w:p w:rsidR="00406D0B" w:rsidRPr="00263E24" w:rsidRDefault="00406D0B" w:rsidP="00406D0B">
      <w:pPr>
        <w:spacing w:line="240" w:lineRule="auto"/>
        <w:rPr>
          <w:b/>
        </w:rPr>
      </w:pPr>
      <w:r w:rsidRPr="00263E24">
        <w:rPr>
          <w:b/>
        </w:rPr>
        <w:t>Required Reading</w:t>
      </w:r>
    </w:p>
    <w:p w:rsidR="009F7337" w:rsidRDefault="006F0093" w:rsidP="006F0093">
      <w:pPr>
        <w:spacing w:line="240" w:lineRule="auto"/>
      </w:pPr>
      <w:r>
        <w:t xml:space="preserve">The central text is a selection of video lectures and lecture notes prepared by the professor, </w:t>
      </w:r>
      <w:r w:rsidR="00B21AB2">
        <w:t xml:space="preserve">available </w:t>
      </w:r>
      <w:proofErr w:type="gramStart"/>
      <w:r w:rsidR="00B21AB2">
        <w:t xml:space="preserve">at  </w:t>
      </w:r>
      <w:r w:rsidR="00B21AB2" w:rsidRPr="00B21AB2">
        <w:t>http</w:t>
      </w:r>
      <w:proofErr w:type="gramEnd"/>
      <w:r w:rsidR="00B21AB2" w:rsidRPr="00B21AB2">
        <w:t>://sites.bu.edu/perry/</w:t>
      </w:r>
      <w:bookmarkStart w:id="0" w:name="_GoBack"/>
      <w:bookmarkEnd w:id="0"/>
      <w:r w:rsidR="00992222">
        <w:t xml:space="preserve">, </w:t>
      </w:r>
      <w:r>
        <w:t xml:space="preserve">plus a selection of related readings, as detailed below.   The reading is not extensive, but it is challenging, and will require time and repeated engagement to absorb.  Exercises and class discussion are essential complements to the reading.  Daily mini-lectures on topics drawn from the day’s financial news—in the </w:t>
      </w:r>
      <w:r w:rsidRPr="0066741E">
        <w:rPr>
          <w:u w:val="single"/>
        </w:rPr>
        <w:t>Financial Times</w:t>
      </w:r>
      <w:r>
        <w:t xml:space="preserve">—offer repeated examples of the money view in practice.  </w:t>
      </w:r>
    </w:p>
    <w:p w:rsidR="009F7337" w:rsidRPr="00BC6524" w:rsidRDefault="009F7337" w:rsidP="009F7337">
      <w:pPr>
        <w:rPr>
          <w:rFonts w:eastAsia="Times New Roman" w:cs="Times New Roman"/>
          <w:color w:val="212121"/>
        </w:rPr>
      </w:pPr>
      <w:r w:rsidRPr="00BC6524">
        <w:rPr>
          <w:b/>
        </w:rPr>
        <w:t>Academic Honesty and Integrity</w:t>
      </w:r>
      <w:r>
        <w:rPr>
          <w:b/>
        </w:rPr>
        <w:t>:</w:t>
      </w:r>
      <w:r>
        <w:t xml:space="preserve">  </w:t>
      </w:r>
      <w:r w:rsidRPr="00BC6524">
        <w:rPr>
          <w:rFonts w:eastAsia="Times New Roman" w:cs="Times New Roman"/>
          <w:color w:val="212121"/>
        </w:rPr>
        <w:t xml:space="preserve">All members of the University </w:t>
      </w:r>
      <w:proofErr w:type="gramStart"/>
      <w:r w:rsidRPr="00BC6524">
        <w:rPr>
          <w:rFonts w:eastAsia="Times New Roman" w:cs="Times New Roman"/>
          <w:color w:val="212121"/>
        </w:rPr>
        <w:t>are expected</w:t>
      </w:r>
      <w:proofErr w:type="gramEnd"/>
      <w:r w:rsidRPr="00BC6524">
        <w:rPr>
          <w:rFonts w:eastAsia="Times New Roman" w:cs="Times New Roman"/>
          <w:color w:val="212121"/>
        </w:rPr>
        <w:t xml:space="preserve"> to maintain the highest standards of academic honesty and integrity, and the CAS Academic Conduct Code will be strictly enforced.  The Conduct Code </w:t>
      </w:r>
      <w:proofErr w:type="gramStart"/>
      <w:r w:rsidRPr="00BC6524">
        <w:rPr>
          <w:rFonts w:eastAsia="Times New Roman" w:cs="Times New Roman"/>
          <w:color w:val="212121"/>
        </w:rPr>
        <w:t>can be found</w:t>
      </w:r>
      <w:proofErr w:type="gramEnd"/>
      <w:r w:rsidRPr="00BC6524">
        <w:rPr>
          <w:rFonts w:eastAsia="Times New Roman" w:cs="Times New Roman"/>
          <w:color w:val="212121"/>
        </w:rPr>
        <w:t xml:space="preserve"> at </w:t>
      </w:r>
      <w:hyperlink r:id="rId5" w:tgtFrame="_blank" w:history="1">
        <w:r w:rsidRPr="00BC6524">
          <w:rPr>
            <w:rFonts w:eastAsia="Times New Roman" w:cs="Times New Roman"/>
            <w:color w:val="0000FF"/>
            <w:u w:val="single"/>
          </w:rPr>
          <w:t>http://www.bu.edu/academics/policies/academic-conduct-code/</w:t>
        </w:r>
      </w:hyperlink>
      <w:r w:rsidRPr="00BC6524">
        <w:rPr>
          <w:rFonts w:eastAsia="Times New Roman" w:cs="Times New Roman"/>
          <w:color w:val="212121"/>
        </w:rPr>
        <w:t>. </w:t>
      </w:r>
    </w:p>
    <w:p w:rsidR="009F7337" w:rsidRPr="00BC6524" w:rsidRDefault="009F7337" w:rsidP="009F7337">
      <w:pPr>
        <w:shd w:val="clear" w:color="auto" w:fill="FFFFFF"/>
        <w:spacing w:after="0" w:line="240" w:lineRule="auto"/>
        <w:rPr>
          <w:rFonts w:eastAsia="Times New Roman" w:cs="Times New Roman"/>
          <w:color w:val="212121"/>
        </w:rPr>
      </w:pPr>
      <w:r>
        <w:rPr>
          <w:rFonts w:eastAsia="Times New Roman" w:cs="Times New Roman"/>
          <w:b/>
          <w:color w:val="212121"/>
        </w:rPr>
        <w:t xml:space="preserve">Disabilities:  </w:t>
      </w:r>
      <w:r w:rsidRPr="00BC6524">
        <w:rPr>
          <w:rFonts w:eastAsia="Times New Roman" w:cs="Times New Roman"/>
          <w:color w:val="212121"/>
        </w:rPr>
        <w:t xml:space="preserve">Boston University is committed to providing equal access to our coursework and programs to all students, including those with disabilities. In order to be sure that accommodations </w:t>
      </w:r>
      <w:proofErr w:type="gramStart"/>
      <w:r w:rsidRPr="00BC6524">
        <w:rPr>
          <w:rFonts w:eastAsia="Times New Roman" w:cs="Times New Roman"/>
          <w:color w:val="212121"/>
        </w:rPr>
        <w:t>can be made</w:t>
      </w:r>
      <w:proofErr w:type="gramEnd"/>
      <w:r w:rsidRPr="00BC6524">
        <w:rPr>
          <w:rFonts w:eastAsia="Times New Roman" w:cs="Times New Roman"/>
          <w:color w:val="212121"/>
        </w:rPr>
        <w:t xml:space="preserve"> in time for all exams and assignments, please plan to turn in your accommodations letter as soon as possible after th</w:t>
      </w:r>
      <w:r>
        <w:rPr>
          <w:rFonts w:eastAsia="Times New Roman" w:cs="Times New Roman"/>
          <w:color w:val="212121"/>
        </w:rPr>
        <w:t>e first class to the instructor</w:t>
      </w:r>
      <w:r w:rsidRPr="00BC6524">
        <w:rPr>
          <w:rFonts w:eastAsia="Times New Roman" w:cs="Times New Roman"/>
          <w:color w:val="212121"/>
        </w:rPr>
        <w:t xml:space="preserve">. After you turn in your letter, please meet with me to discuss the plan for accommodations so that we can be sure that they are adequate and you </w:t>
      </w:r>
      <w:proofErr w:type="gramStart"/>
      <w:r w:rsidRPr="00BC6524">
        <w:rPr>
          <w:rFonts w:eastAsia="Times New Roman" w:cs="Times New Roman"/>
          <w:color w:val="212121"/>
        </w:rPr>
        <w:t>are supported</w:t>
      </w:r>
      <w:proofErr w:type="gramEnd"/>
      <w:r w:rsidRPr="00BC6524">
        <w:rPr>
          <w:rFonts w:eastAsia="Times New Roman" w:cs="Times New Roman"/>
          <w:color w:val="212121"/>
        </w:rPr>
        <w:t xml:space="preserve"> in your learning. </w:t>
      </w:r>
      <w:r>
        <w:rPr>
          <w:rFonts w:eastAsia="Times New Roman" w:cs="Times New Roman"/>
          <w:color w:val="212121"/>
        </w:rPr>
        <w:t xml:space="preserve"> </w:t>
      </w:r>
      <w:r w:rsidRPr="00BC6524">
        <w:rPr>
          <w:rFonts w:eastAsia="Times New Roman" w:cs="Times New Roman"/>
          <w:color w:val="212121"/>
        </w:rPr>
        <w:t>If you have further questions or need additional support, please contact the Office of Disability Services (</w:t>
      </w:r>
      <w:hyperlink r:id="rId6" w:tgtFrame="_blank" w:history="1">
        <w:r w:rsidRPr="00BC6524">
          <w:rPr>
            <w:rFonts w:eastAsia="Times New Roman" w:cs="Times New Roman"/>
            <w:color w:val="0000FF"/>
            <w:u w:val="single"/>
          </w:rPr>
          <w:t>access@bu.edu</w:t>
        </w:r>
      </w:hyperlink>
      <w:r w:rsidRPr="00BC6524">
        <w:rPr>
          <w:rFonts w:eastAsia="Times New Roman" w:cs="Times New Roman"/>
          <w:color w:val="212121"/>
        </w:rPr>
        <w:t>).</w:t>
      </w:r>
    </w:p>
    <w:p w:rsidR="009F7337" w:rsidRDefault="009F7337" w:rsidP="006F0093">
      <w:pPr>
        <w:spacing w:line="240" w:lineRule="auto"/>
      </w:pPr>
    </w:p>
    <w:p w:rsidR="00406D0B" w:rsidRDefault="00406D0B" w:rsidP="00406D0B">
      <w:pPr>
        <w:spacing w:line="240" w:lineRule="auto"/>
      </w:pPr>
    </w:p>
    <w:p w:rsidR="00134AAD" w:rsidRDefault="00134AAD">
      <w:r>
        <w:br w:type="page"/>
      </w:r>
    </w:p>
    <w:p w:rsidR="00406D0B" w:rsidRPr="00134AAD" w:rsidRDefault="00406D0B" w:rsidP="00406D0B">
      <w:pPr>
        <w:spacing w:line="240" w:lineRule="auto"/>
        <w:rPr>
          <w:b/>
        </w:rPr>
      </w:pPr>
      <w:r w:rsidRPr="00134AAD">
        <w:rPr>
          <w:b/>
        </w:rPr>
        <w:lastRenderedPageBreak/>
        <w:t>Lecture Schedule</w:t>
      </w:r>
    </w:p>
    <w:p w:rsidR="00483E0A" w:rsidRDefault="00483E0A" w:rsidP="00406D0B">
      <w:pPr>
        <w:spacing w:line="240" w:lineRule="auto"/>
      </w:pPr>
    </w:p>
    <w:p w:rsidR="003525BB" w:rsidRDefault="00B75113" w:rsidP="00406D0B">
      <w:pPr>
        <w:spacing w:line="240" w:lineRule="auto"/>
      </w:pPr>
      <w:r>
        <w:t>Jan 25, 27</w:t>
      </w:r>
      <w:r w:rsidR="001C6B25">
        <w:t xml:space="preserve">:  </w:t>
      </w:r>
      <w:r w:rsidR="00052B14">
        <w:t>The Big Picture</w:t>
      </w:r>
    </w:p>
    <w:p w:rsidR="00D2233E" w:rsidRDefault="00D2233E" w:rsidP="00992222">
      <w:pPr>
        <w:spacing w:line="240" w:lineRule="auto"/>
        <w:ind w:left="720"/>
      </w:pPr>
      <w:proofErr w:type="spellStart"/>
      <w:r>
        <w:t>Kindleberger</w:t>
      </w:r>
      <w:proofErr w:type="spellEnd"/>
      <w:r>
        <w:t>,</w:t>
      </w:r>
      <w:r w:rsidR="00992222">
        <w:t xml:space="preserve"> Charles P. </w:t>
      </w:r>
      <w:r>
        <w:t xml:space="preserve"> “The Dollar System</w:t>
      </w:r>
      <w:r w:rsidR="00992222">
        <w:t>.</w:t>
      </w:r>
      <w:r>
        <w:t xml:space="preserve">” </w:t>
      </w:r>
      <w:r w:rsidR="00992222">
        <w:t xml:space="preserve"> </w:t>
      </w:r>
      <w:r w:rsidR="00992222" w:rsidRPr="00992222">
        <w:rPr>
          <w:u w:val="single"/>
        </w:rPr>
        <w:t>New England Economic Review</w:t>
      </w:r>
      <w:r w:rsidR="00992222">
        <w:t xml:space="preserve"> (Sept/Oct 1970):  3-9.</w:t>
      </w:r>
    </w:p>
    <w:p w:rsidR="00B75113" w:rsidRDefault="00B75113" w:rsidP="00992222">
      <w:pPr>
        <w:spacing w:line="240" w:lineRule="auto"/>
        <w:ind w:left="720"/>
      </w:pPr>
      <w:r>
        <w:t>Hauser</w:t>
      </w:r>
      <w:r w:rsidR="003D3314">
        <w:t>, Andrew.  “From Lender of Last Resort to Market Maker of Last Resort.”  (Bank of England, January 9, 2021).</w:t>
      </w:r>
    </w:p>
    <w:p w:rsidR="00406D0B" w:rsidRDefault="003D3314" w:rsidP="00406D0B">
      <w:pPr>
        <w:spacing w:line="240" w:lineRule="auto"/>
      </w:pPr>
      <w:r>
        <w:t>Feb 1, 3</w:t>
      </w:r>
      <w:r w:rsidR="00406D0B">
        <w:t xml:space="preserve">: </w:t>
      </w:r>
      <w:r w:rsidR="00D2233E">
        <w:t xml:space="preserve"> The Money View</w:t>
      </w:r>
    </w:p>
    <w:p w:rsidR="00D2233E" w:rsidRDefault="00406D0B" w:rsidP="00406D0B">
      <w:pPr>
        <w:spacing w:line="240" w:lineRule="auto"/>
      </w:pPr>
      <w:r>
        <w:tab/>
      </w:r>
      <w:proofErr w:type="spellStart"/>
      <w:r>
        <w:t>Lec</w:t>
      </w:r>
      <w:proofErr w:type="spellEnd"/>
      <w:r>
        <w:t xml:space="preserve"> 2</w:t>
      </w:r>
      <w:r w:rsidR="00992222">
        <w:t xml:space="preserve">: </w:t>
      </w:r>
      <w:r w:rsidR="00D2233E">
        <w:t xml:space="preserve"> “Natural Hierarchy of Money”</w:t>
      </w:r>
    </w:p>
    <w:p w:rsidR="006D715C" w:rsidRDefault="006D715C" w:rsidP="00406D0B">
      <w:pPr>
        <w:spacing w:line="240" w:lineRule="auto"/>
      </w:pPr>
      <w:r>
        <w:tab/>
      </w:r>
      <w:proofErr w:type="spellStart"/>
      <w:r>
        <w:t>Lec</w:t>
      </w:r>
      <w:proofErr w:type="spellEnd"/>
      <w:r>
        <w:t xml:space="preserve"> 3:  “Money and the State”</w:t>
      </w:r>
    </w:p>
    <w:p w:rsidR="00406D0B" w:rsidRDefault="00D2233E" w:rsidP="00D2233E">
      <w:pPr>
        <w:spacing w:line="240" w:lineRule="auto"/>
        <w:ind w:firstLine="720"/>
      </w:pPr>
      <w:proofErr w:type="spellStart"/>
      <w:r>
        <w:t>Lec</w:t>
      </w:r>
      <w:proofErr w:type="spellEnd"/>
      <w:r>
        <w:t xml:space="preserve"> 4</w:t>
      </w:r>
      <w:r w:rsidR="00992222">
        <w:t xml:space="preserve">: </w:t>
      </w:r>
      <w:r>
        <w:t xml:space="preserve"> “</w:t>
      </w:r>
      <w:r w:rsidR="00134AAD">
        <w:t xml:space="preserve">The Money View, </w:t>
      </w:r>
      <w:r>
        <w:t>M</w:t>
      </w:r>
      <w:r w:rsidR="00721D1E">
        <w:t>icro and Macro</w:t>
      </w:r>
      <w:r>
        <w:t>”</w:t>
      </w:r>
      <w:r w:rsidR="00134AAD">
        <w:tab/>
      </w:r>
      <w:r w:rsidR="00134AAD">
        <w:tab/>
      </w:r>
      <w:r w:rsidR="00134AAD">
        <w:tab/>
      </w:r>
      <w:r w:rsidR="00134AAD">
        <w:tab/>
      </w:r>
    </w:p>
    <w:p w:rsidR="00406D0B" w:rsidRDefault="003D3314" w:rsidP="00406D0B">
      <w:pPr>
        <w:spacing w:line="240" w:lineRule="auto"/>
      </w:pPr>
      <w:r>
        <w:t>Feb 8, 10</w:t>
      </w:r>
      <w:r w:rsidR="003525BB">
        <w:t xml:space="preserve">:  </w:t>
      </w:r>
      <w:r w:rsidR="00D2233E">
        <w:t>The Settlement Constraint</w:t>
      </w:r>
      <w:r w:rsidR="000D54A5">
        <w:t>:  par</w:t>
      </w:r>
    </w:p>
    <w:p w:rsidR="00406D0B" w:rsidRDefault="00406D0B" w:rsidP="00406D0B">
      <w:pPr>
        <w:spacing w:line="240" w:lineRule="auto"/>
      </w:pPr>
      <w:r>
        <w:tab/>
      </w:r>
      <w:proofErr w:type="spellStart"/>
      <w:r>
        <w:t>Lec</w:t>
      </w:r>
      <w:proofErr w:type="spellEnd"/>
      <w:r>
        <w:t xml:space="preserve"> 5</w:t>
      </w:r>
      <w:r w:rsidR="00992222">
        <w:t xml:space="preserve">: </w:t>
      </w:r>
      <w:r w:rsidR="00721D1E">
        <w:t xml:space="preserve"> “Central Banking as a Clearinghouse”</w:t>
      </w:r>
    </w:p>
    <w:p w:rsidR="00E85FAF" w:rsidRDefault="00E85FAF" w:rsidP="00E85FAF">
      <w:pPr>
        <w:spacing w:line="240" w:lineRule="auto"/>
        <w:ind w:firstLine="720"/>
      </w:pPr>
      <w:proofErr w:type="spellStart"/>
      <w:r>
        <w:t>Lec</w:t>
      </w:r>
      <w:proofErr w:type="spellEnd"/>
      <w:r>
        <w:t xml:space="preserve"> 6:  “Federal Funds”</w:t>
      </w:r>
    </w:p>
    <w:p w:rsidR="00E85FAF" w:rsidRDefault="00E85FAF" w:rsidP="00E85FAF">
      <w:pPr>
        <w:spacing w:line="240" w:lineRule="auto"/>
        <w:ind w:firstLine="720"/>
      </w:pPr>
      <w:proofErr w:type="spellStart"/>
      <w:r>
        <w:t>Lec</w:t>
      </w:r>
      <w:proofErr w:type="spellEnd"/>
      <w:r>
        <w:t xml:space="preserve"> 7:  “Repos”</w:t>
      </w:r>
    </w:p>
    <w:p w:rsidR="00E85FAF" w:rsidRDefault="00E85FAF" w:rsidP="00E85FAF">
      <w:pPr>
        <w:spacing w:line="240" w:lineRule="auto"/>
        <w:ind w:firstLine="720"/>
      </w:pPr>
      <w:proofErr w:type="spellStart"/>
      <w:r>
        <w:t>Lec</w:t>
      </w:r>
      <w:proofErr w:type="spellEnd"/>
      <w:r>
        <w:t xml:space="preserve"> 8:  “Eurodollars”</w:t>
      </w:r>
    </w:p>
    <w:p w:rsidR="00406D0B" w:rsidRDefault="003D3314" w:rsidP="00406D0B">
      <w:pPr>
        <w:spacing w:line="240" w:lineRule="auto"/>
      </w:pPr>
      <w:r>
        <w:t>Feb 16, 17</w:t>
      </w:r>
      <w:r w:rsidR="00721D1E">
        <w:t>:  Money Markets and Lender of Last Resort</w:t>
      </w:r>
    </w:p>
    <w:p w:rsidR="00E85FAF" w:rsidRDefault="00721D1E" w:rsidP="00721D1E">
      <w:pPr>
        <w:spacing w:line="240" w:lineRule="auto"/>
        <w:ind w:firstLine="720"/>
      </w:pPr>
      <w:proofErr w:type="spellStart"/>
      <w:r>
        <w:t>Lec</w:t>
      </w:r>
      <w:proofErr w:type="spellEnd"/>
      <w:r>
        <w:t xml:space="preserve"> </w:t>
      </w:r>
      <w:r w:rsidR="00406D0B">
        <w:t>9</w:t>
      </w:r>
      <w:r w:rsidR="00992222">
        <w:t xml:space="preserve">: </w:t>
      </w:r>
      <w:r>
        <w:t xml:space="preserve"> “The World that Bagehot Knew”</w:t>
      </w:r>
      <w:r w:rsidR="00134AAD">
        <w:tab/>
      </w:r>
    </w:p>
    <w:p w:rsidR="00E85FAF" w:rsidRDefault="00E85FAF" w:rsidP="00E85FAF">
      <w:pPr>
        <w:spacing w:line="240" w:lineRule="auto"/>
        <w:ind w:left="720"/>
      </w:pPr>
      <w:proofErr w:type="spellStart"/>
      <w:r>
        <w:t>Kindleberger</w:t>
      </w:r>
      <w:proofErr w:type="spellEnd"/>
      <w:r>
        <w:t xml:space="preserve">, Charles P. </w:t>
      </w:r>
      <w:r w:rsidR="00C43A6D">
        <w:t xml:space="preserve"> </w:t>
      </w:r>
      <w:r>
        <w:t>1969</w:t>
      </w:r>
      <w:r w:rsidR="00C43A6D">
        <w:t>.</w:t>
      </w:r>
      <w:r>
        <w:t xml:space="preserve"> </w:t>
      </w:r>
      <w:r w:rsidR="00C43A6D">
        <w:t xml:space="preserve"> </w:t>
      </w:r>
      <w:r>
        <w:t xml:space="preserve">“Measuring Equilibrium in the Balance of Payments.”  </w:t>
      </w:r>
      <w:r w:rsidRPr="00992222">
        <w:rPr>
          <w:u w:val="single"/>
        </w:rPr>
        <w:t>Journal of Political Economy</w:t>
      </w:r>
      <w:r>
        <w:t xml:space="preserve"> 77 No. 6 (November):  873-891.</w:t>
      </w:r>
    </w:p>
    <w:p w:rsidR="00E85FAF" w:rsidRDefault="00E85FAF" w:rsidP="00E85FAF">
      <w:pPr>
        <w:spacing w:line="240" w:lineRule="auto"/>
        <w:ind w:left="720"/>
      </w:pPr>
      <w:proofErr w:type="spellStart"/>
      <w:r>
        <w:t>Avdjiev</w:t>
      </w:r>
      <w:proofErr w:type="spellEnd"/>
      <w:r>
        <w:t>,</w:t>
      </w:r>
      <w:r w:rsidR="00C43A6D">
        <w:t xml:space="preserve"> Stefan, Robert</w:t>
      </w:r>
      <w:r>
        <w:t xml:space="preserve"> McCauley and </w:t>
      </w:r>
      <w:r w:rsidR="00C43A6D">
        <w:t xml:space="preserve">Hyun </w:t>
      </w:r>
      <w:r>
        <w:t>Shin</w:t>
      </w:r>
      <w:r w:rsidR="00C43A6D">
        <w:t>.</w:t>
      </w:r>
      <w:r>
        <w:t xml:space="preserve"> </w:t>
      </w:r>
      <w:r w:rsidR="00C43A6D">
        <w:t xml:space="preserve"> 2015. </w:t>
      </w:r>
      <w:r>
        <w:t xml:space="preserve"> “Breaking Free of the Triple Coincidence</w:t>
      </w:r>
      <w:r w:rsidR="00C43A6D">
        <w:t xml:space="preserve"> in International Finance</w:t>
      </w:r>
      <w:r>
        <w:t>”</w:t>
      </w:r>
      <w:r w:rsidR="00C43A6D">
        <w:t xml:space="preserve"> BIS Working Paper #524 (Oct 2015)</w:t>
      </w:r>
    </w:p>
    <w:p w:rsidR="00406D0B" w:rsidRDefault="003D3314" w:rsidP="00406D0B">
      <w:pPr>
        <w:spacing w:line="240" w:lineRule="auto"/>
      </w:pPr>
      <w:r>
        <w:t>Feb 22, 24</w:t>
      </w:r>
      <w:r w:rsidR="00406D0B">
        <w:t xml:space="preserve">:  </w:t>
      </w:r>
      <w:r w:rsidR="000D54A5">
        <w:t xml:space="preserve">The </w:t>
      </w:r>
      <w:proofErr w:type="spellStart"/>
      <w:r w:rsidR="000D54A5">
        <w:t>Treynor</w:t>
      </w:r>
      <w:proofErr w:type="spellEnd"/>
      <w:r w:rsidR="000D54A5">
        <w:t xml:space="preserve"> Model</w:t>
      </w:r>
      <w:r w:rsidR="00E85FAF">
        <w:t>:  interest rates</w:t>
      </w:r>
    </w:p>
    <w:p w:rsidR="006D715C" w:rsidRDefault="00406D0B" w:rsidP="00406D0B">
      <w:pPr>
        <w:spacing w:line="240" w:lineRule="auto"/>
      </w:pPr>
      <w:r>
        <w:tab/>
      </w:r>
      <w:proofErr w:type="spellStart"/>
      <w:r>
        <w:t>Lec</w:t>
      </w:r>
      <w:proofErr w:type="spellEnd"/>
      <w:r>
        <w:t xml:space="preserve"> 10</w:t>
      </w:r>
      <w:r w:rsidR="00992222">
        <w:t xml:space="preserve">: </w:t>
      </w:r>
      <w:r w:rsidR="00721D1E">
        <w:t xml:space="preserve"> “Dealers:</w:t>
      </w:r>
      <w:r w:rsidR="00052B14">
        <w:t xml:space="preserve"> Liquidity Security Markets”</w:t>
      </w:r>
      <w:r w:rsidR="000D54A5">
        <w:t xml:space="preserve"> </w:t>
      </w:r>
    </w:p>
    <w:p w:rsidR="00721D1E" w:rsidRDefault="000D54A5" w:rsidP="006D715C">
      <w:pPr>
        <w:spacing w:line="240" w:lineRule="auto"/>
        <w:ind w:firstLine="720"/>
      </w:pPr>
      <w:proofErr w:type="spellStart"/>
      <w:r>
        <w:t>Lec</w:t>
      </w:r>
      <w:proofErr w:type="spellEnd"/>
      <w:r>
        <w:t xml:space="preserve"> </w:t>
      </w:r>
      <w:r w:rsidR="00406D0B">
        <w:t>11</w:t>
      </w:r>
      <w:r w:rsidR="00992222">
        <w:t xml:space="preserve">: </w:t>
      </w:r>
      <w:r w:rsidR="00721D1E">
        <w:t xml:space="preserve"> “Banks:  The Market for Liquidity”</w:t>
      </w:r>
    </w:p>
    <w:p w:rsidR="00406D0B" w:rsidRDefault="006D715C" w:rsidP="00721D1E">
      <w:pPr>
        <w:spacing w:line="240" w:lineRule="auto"/>
        <w:ind w:firstLine="720"/>
      </w:pPr>
      <w:proofErr w:type="spellStart"/>
      <w:r>
        <w:t>Lec</w:t>
      </w:r>
      <w:proofErr w:type="spellEnd"/>
      <w:r>
        <w:t xml:space="preserve"> 12:  “Lender/Dealer of Last Resort”</w:t>
      </w:r>
    </w:p>
    <w:p w:rsidR="00E85FAF" w:rsidRDefault="003D3314" w:rsidP="00E85FAF">
      <w:pPr>
        <w:spacing w:line="240" w:lineRule="auto"/>
      </w:pPr>
      <w:r>
        <w:t>Mar 1, 3</w:t>
      </w:r>
      <w:r w:rsidR="00E85FAF">
        <w:t xml:space="preserve">:  The </w:t>
      </w:r>
      <w:proofErr w:type="spellStart"/>
      <w:r w:rsidR="00E85FAF">
        <w:t>Treynor</w:t>
      </w:r>
      <w:proofErr w:type="spellEnd"/>
      <w:r w:rsidR="00E85FAF">
        <w:t xml:space="preserve"> Model:  exchange rates</w:t>
      </w:r>
    </w:p>
    <w:p w:rsidR="00DB1201" w:rsidRDefault="00DB1201" w:rsidP="00E85FAF">
      <w:pPr>
        <w:spacing w:line="240" w:lineRule="auto"/>
      </w:pPr>
      <w:r>
        <w:tab/>
      </w:r>
      <w:proofErr w:type="spellStart"/>
      <w:r>
        <w:t>Lec</w:t>
      </w:r>
      <w:proofErr w:type="spellEnd"/>
      <w:r>
        <w:t xml:space="preserve"> 15:  “Banks and Global Liquidity”</w:t>
      </w:r>
    </w:p>
    <w:p w:rsidR="00DB1201" w:rsidRDefault="00DB1201" w:rsidP="00E85FAF">
      <w:pPr>
        <w:spacing w:line="240" w:lineRule="auto"/>
      </w:pPr>
      <w:r>
        <w:tab/>
      </w:r>
      <w:proofErr w:type="spellStart"/>
      <w:r>
        <w:t>Lec</w:t>
      </w:r>
      <w:proofErr w:type="spellEnd"/>
      <w:r>
        <w:t xml:space="preserve"> 16:  “Foreign Exchange”</w:t>
      </w:r>
    </w:p>
    <w:p w:rsidR="00B739F0" w:rsidRDefault="00DB1201" w:rsidP="00C43A6D">
      <w:pPr>
        <w:spacing w:line="240" w:lineRule="auto"/>
        <w:ind w:left="720"/>
      </w:pPr>
      <w:proofErr w:type="spellStart"/>
      <w:r>
        <w:t>Mehrling</w:t>
      </w:r>
      <w:proofErr w:type="spellEnd"/>
      <w:r w:rsidR="00C43A6D">
        <w:t xml:space="preserve">, Perry. </w:t>
      </w:r>
      <w:r>
        <w:t xml:space="preserve"> 2013</w:t>
      </w:r>
      <w:r w:rsidR="00C43A6D">
        <w:t xml:space="preserve">. </w:t>
      </w:r>
      <w:r>
        <w:t xml:space="preserve"> </w:t>
      </w:r>
      <w:r w:rsidR="00B739F0">
        <w:t>“Essential Hybridity:  A Money View of FX”</w:t>
      </w:r>
      <w:r>
        <w:t xml:space="preserve"> </w:t>
      </w:r>
      <w:r w:rsidRPr="00DB1201">
        <w:rPr>
          <w:u w:val="single"/>
        </w:rPr>
        <w:t>Journal of Comparative Economics</w:t>
      </w:r>
      <w:r>
        <w:t xml:space="preserve"> 41:  355-363.</w:t>
      </w:r>
    </w:p>
    <w:p w:rsidR="00052B14" w:rsidRDefault="003D3314" w:rsidP="000D54A5">
      <w:pPr>
        <w:spacing w:line="240" w:lineRule="auto"/>
      </w:pPr>
      <w:r>
        <w:t>Mar 8, 10</w:t>
      </w:r>
      <w:r w:rsidR="001C6B25">
        <w:t>:  Review and Midterm</w:t>
      </w:r>
    </w:p>
    <w:p w:rsidR="00B739F0" w:rsidRDefault="001F045C" w:rsidP="000D54A5">
      <w:pPr>
        <w:spacing w:line="240" w:lineRule="auto"/>
      </w:pPr>
      <w:r>
        <w:lastRenderedPageBreak/>
        <w:t>Mar 1</w:t>
      </w:r>
      <w:r w:rsidR="003D3314">
        <w:t>5, 17</w:t>
      </w:r>
      <w:r>
        <w:t xml:space="preserve">:  </w:t>
      </w:r>
      <w:r w:rsidR="003D3314">
        <w:t>Exchange Rates</w:t>
      </w:r>
      <w:r w:rsidR="00B53AA3">
        <w:t xml:space="preserve"> (Central Bankers)</w:t>
      </w:r>
    </w:p>
    <w:p w:rsidR="003D3314" w:rsidRDefault="003D3314" w:rsidP="003D3314">
      <w:pPr>
        <w:spacing w:line="240" w:lineRule="auto"/>
        <w:ind w:left="720"/>
      </w:pPr>
      <w:proofErr w:type="spellStart"/>
      <w:r>
        <w:t>Borio</w:t>
      </w:r>
      <w:proofErr w:type="spellEnd"/>
      <w:r>
        <w:t xml:space="preserve">, Claudio et al.  </w:t>
      </w:r>
      <w:r w:rsidRPr="003D3314">
        <w:rPr>
          <w:u w:val="single"/>
        </w:rPr>
        <w:t>Promoting Global Monetary and Financial Stability.  The Bank for International Settlements, 1973-2020</w:t>
      </w:r>
      <w:r>
        <w:t>.  Cambridge, 2020.</w:t>
      </w:r>
    </w:p>
    <w:p w:rsidR="00E1211B" w:rsidRDefault="003D3314" w:rsidP="000D54A5">
      <w:pPr>
        <w:spacing w:line="240" w:lineRule="auto"/>
      </w:pPr>
      <w:r>
        <w:t>Mar 22, 24</w:t>
      </w:r>
      <w:r w:rsidR="00B739F0">
        <w:t xml:space="preserve">:  </w:t>
      </w:r>
      <w:r>
        <w:t>Capital Markets</w:t>
      </w:r>
      <w:r w:rsidR="00B53AA3">
        <w:t xml:space="preserve"> (Investors)</w:t>
      </w:r>
    </w:p>
    <w:p w:rsidR="003D3314" w:rsidRDefault="003D3314" w:rsidP="000D54A5">
      <w:pPr>
        <w:spacing w:line="240" w:lineRule="auto"/>
      </w:pPr>
      <w:r>
        <w:tab/>
        <w:t xml:space="preserve">O’Malley, Chris.  </w:t>
      </w:r>
      <w:r w:rsidRPr="00B53AA3">
        <w:rPr>
          <w:u w:val="single"/>
        </w:rPr>
        <w:t xml:space="preserve">Bonds </w:t>
      </w:r>
      <w:proofErr w:type="gramStart"/>
      <w:r w:rsidRPr="00B53AA3">
        <w:rPr>
          <w:u w:val="single"/>
        </w:rPr>
        <w:t>Without</w:t>
      </w:r>
      <w:proofErr w:type="gramEnd"/>
      <w:r w:rsidRPr="00B53AA3">
        <w:rPr>
          <w:u w:val="single"/>
        </w:rPr>
        <w:t xml:space="preserve"> Borders.  A History of the Eurobond Market</w:t>
      </w:r>
      <w:r>
        <w:t>.  Wiley, 2015.</w:t>
      </w:r>
    </w:p>
    <w:p w:rsidR="00E1211B" w:rsidRDefault="003D3314" w:rsidP="000D54A5">
      <w:pPr>
        <w:spacing w:line="240" w:lineRule="auto"/>
      </w:pPr>
      <w:r>
        <w:t>Mar 29, Apr 5</w:t>
      </w:r>
      <w:r w:rsidR="00932563">
        <w:t xml:space="preserve">:  </w:t>
      </w:r>
      <w:r w:rsidR="00B53AA3">
        <w:t>Capital Markets (Speculators)</w:t>
      </w:r>
    </w:p>
    <w:p w:rsidR="003D3314" w:rsidRDefault="003D3314" w:rsidP="00B53AA3">
      <w:pPr>
        <w:spacing w:line="240" w:lineRule="auto"/>
        <w:ind w:left="720"/>
      </w:pPr>
      <w:r>
        <w:t xml:space="preserve">Lee, Tim et al.  </w:t>
      </w:r>
      <w:r w:rsidRPr="00B53AA3">
        <w:rPr>
          <w:u w:val="single"/>
        </w:rPr>
        <w:t xml:space="preserve">The Rise of Carry.  The Dangerous Consequences of Volatility Suppression and the </w:t>
      </w:r>
      <w:proofErr w:type="spellStart"/>
      <w:r w:rsidRPr="00B53AA3">
        <w:rPr>
          <w:u w:val="single"/>
        </w:rPr>
        <w:t>the</w:t>
      </w:r>
      <w:proofErr w:type="spellEnd"/>
      <w:r w:rsidRPr="00B53AA3">
        <w:rPr>
          <w:u w:val="single"/>
        </w:rPr>
        <w:t xml:space="preserve"> New Financial Order of Decaying Growth and Recurring Crises</w:t>
      </w:r>
      <w:r>
        <w:t xml:space="preserve">.  </w:t>
      </w:r>
      <w:r w:rsidR="00B53AA3">
        <w:t>McGraw-Hill, 2020.</w:t>
      </w:r>
    </w:p>
    <w:p w:rsidR="00B739F0" w:rsidRDefault="003D3314" w:rsidP="003D3314">
      <w:pPr>
        <w:spacing w:line="240" w:lineRule="auto"/>
      </w:pPr>
      <w:r>
        <w:t>Apr 7</w:t>
      </w:r>
      <w:r w:rsidR="00B739F0">
        <w:t xml:space="preserve">, </w:t>
      </w:r>
      <w:r>
        <w:t>12</w:t>
      </w:r>
      <w:r w:rsidR="00932563">
        <w:t xml:space="preserve">:  </w:t>
      </w:r>
      <w:r w:rsidR="00B53AA3">
        <w:t>Inflation (Economists)</w:t>
      </w:r>
    </w:p>
    <w:p w:rsidR="00B53AA3" w:rsidRDefault="00B53AA3" w:rsidP="00B53AA3">
      <w:pPr>
        <w:spacing w:line="240" w:lineRule="auto"/>
        <w:ind w:left="720"/>
      </w:pPr>
      <w:proofErr w:type="spellStart"/>
      <w:r>
        <w:t>Goodhart</w:t>
      </w:r>
      <w:proofErr w:type="spellEnd"/>
      <w:r>
        <w:t xml:space="preserve">, Charles and </w:t>
      </w:r>
      <w:proofErr w:type="spellStart"/>
      <w:r>
        <w:t>Manoj</w:t>
      </w:r>
      <w:proofErr w:type="spellEnd"/>
      <w:r>
        <w:t xml:space="preserve"> Pradhan.  </w:t>
      </w:r>
      <w:r w:rsidRPr="00B53AA3">
        <w:rPr>
          <w:u w:val="single"/>
        </w:rPr>
        <w:t>The Great Demographic Reversal.  Ageing Societies, Waning Inequality, and an Inflation Revival</w:t>
      </w:r>
      <w:r>
        <w:t>.  Palgrave Macmillan, 2020.</w:t>
      </w:r>
    </w:p>
    <w:p w:rsidR="003D3314" w:rsidRDefault="00FF3FBF" w:rsidP="000D54A5">
      <w:pPr>
        <w:spacing w:line="240" w:lineRule="auto"/>
      </w:pPr>
      <w:r>
        <w:t>A</w:t>
      </w:r>
      <w:r w:rsidR="003D3314">
        <w:t>pr 14, 21</w:t>
      </w:r>
      <w:r w:rsidR="00B739F0">
        <w:t xml:space="preserve">:  </w:t>
      </w:r>
      <w:r w:rsidR="00B53AA3">
        <w:t>Political Economy (Lawyers)</w:t>
      </w:r>
    </w:p>
    <w:p w:rsidR="00B53AA3" w:rsidRDefault="00B53AA3" w:rsidP="00B53AA3">
      <w:pPr>
        <w:spacing w:line="240" w:lineRule="auto"/>
        <w:ind w:left="720"/>
      </w:pPr>
      <w:proofErr w:type="spellStart"/>
      <w:r>
        <w:t>Baradaran</w:t>
      </w:r>
      <w:proofErr w:type="spellEnd"/>
      <w:r>
        <w:t xml:space="preserve">, </w:t>
      </w:r>
      <w:proofErr w:type="spellStart"/>
      <w:r>
        <w:t>Mehrsa</w:t>
      </w:r>
      <w:proofErr w:type="spellEnd"/>
      <w:r>
        <w:t xml:space="preserve">.  </w:t>
      </w:r>
      <w:r w:rsidRPr="00B53AA3">
        <w:rPr>
          <w:u w:val="single"/>
        </w:rPr>
        <w:t>The Color of Money.  Black Banks and the Racial Wealth Gap</w:t>
      </w:r>
      <w:r>
        <w:t>.  Harvard, 2017.</w:t>
      </w:r>
    </w:p>
    <w:p w:rsidR="00B739F0" w:rsidRDefault="003D3314" w:rsidP="000D54A5">
      <w:pPr>
        <w:spacing w:line="240" w:lineRule="auto"/>
      </w:pPr>
      <w:r>
        <w:t>Apr 26, 28</w:t>
      </w:r>
      <w:r w:rsidR="00B739F0">
        <w:t xml:space="preserve">:  </w:t>
      </w:r>
      <w:r w:rsidR="00B53AA3">
        <w:t>Political Economy (Journalists)</w:t>
      </w:r>
    </w:p>
    <w:p w:rsidR="00B53AA3" w:rsidRDefault="00B53AA3" w:rsidP="00B53AA3">
      <w:pPr>
        <w:spacing w:line="240" w:lineRule="auto"/>
        <w:ind w:left="720"/>
      </w:pPr>
      <w:r>
        <w:t xml:space="preserve">Carter, Zachary D.  </w:t>
      </w:r>
      <w:r w:rsidRPr="00B53AA3">
        <w:rPr>
          <w:u w:val="single"/>
        </w:rPr>
        <w:t>The Price of Peace.  Money, Democracy, and the Life of John Maynard Keynes</w:t>
      </w:r>
      <w:r>
        <w:t>.  Random House, 2020.</w:t>
      </w:r>
    </w:p>
    <w:p w:rsidR="00E1211B" w:rsidRDefault="00D902EE" w:rsidP="003D3314">
      <w:pPr>
        <w:spacing w:line="240" w:lineRule="auto"/>
      </w:pPr>
      <w:r>
        <w:tab/>
      </w:r>
    </w:p>
    <w:p w:rsidR="005B50B9" w:rsidRDefault="005B50B9" w:rsidP="00C71EE2">
      <w:pPr>
        <w:spacing w:line="240" w:lineRule="auto"/>
        <w:ind w:firstLine="720"/>
      </w:pPr>
    </w:p>
    <w:p w:rsidR="005B50B9" w:rsidRDefault="005B50B9" w:rsidP="00406D0B">
      <w:pPr>
        <w:spacing w:line="240" w:lineRule="auto"/>
      </w:pPr>
    </w:p>
    <w:p w:rsidR="005B50B9" w:rsidRDefault="005B50B9" w:rsidP="00406D0B">
      <w:pPr>
        <w:spacing w:line="240" w:lineRule="auto"/>
      </w:pPr>
    </w:p>
    <w:p w:rsidR="005B50B9" w:rsidRDefault="005B50B9" w:rsidP="00406D0B">
      <w:pPr>
        <w:spacing w:line="240" w:lineRule="auto"/>
      </w:pPr>
    </w:p>
    <w:sectPr w:rsidR="005B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0B"/>
    <w:rsid w:val="0001730D"/>
    <w:rsid w:val="00052B14"/>
    <w:rsid w:val="000D54A5"/>
    <w:rsid w:val="001033B7"/>
    <w:rsid w:val="00134AAD"/>
    <w:rsid w:val="001C6B25"/>
    <w:rsid w:val="001F045C"/>
    <w:rsid w:val="001F40D9"/>
    <w:rsid w:val="001F4DDF"/>
    <w:rsid w:val="00247BE0"/>
    <w:rsid w:val="00263E24"/>
    <w:rsid w:val="002833D7"/>
    <w:rsid w:val="002B3E60"/>
    <w:rsid w:val="0034271F"/>
    <w:rsid w:val="003525BB"/>
    <w:rsid w:val="003728CE"/>
    <w:rsid w:val="003D3314"/>
    <w:rsid w:val="003F1CC1"/>
    <w:rsid w:val="00406D0B"/>
    <w:rsid w:val="00483E0A"/>
    <w:rsid w:val="004D574C"/>
    <w:rsid w:val="005B50B9"/>
    <w:rsid w:val="006335CB"/>
    <w:rsid w:val="00680938"/>
    <w:rsid w:val="00682472"/>
    <w:rsid w:val="006D715C"/>
    <w:rsid w:val="006F0093"/>
    <w:rsid w:val="00721D1E"/>
    <w:rsid w:val="00752D5F"/>
    <w:rsid w:val="007F2382"/>
    <w:rsid w:val="00802538"/>
    <w:rsid w:val="00822A80"/>
    <w:rsid w:val="00827077"/>
    <w:rsid w:val="00837416"/>
    <w:rsid w:val="00932563"/>
    <w:rsid w:val="00992222"/>
    <w:rsid w:val="009D76EC"/>
    <w:rsid w:val="009F7337"/>
    <w:rsid w:val="00B21AB2"/>
    <w:rsid w:val="00B22F6F"/>
    <w:rsid w:val="00B324B1"/>
    <w:rsid w:val="00B53AA3"/>
    <w:rsid w:val="00B739F0"/>
    <w:rsid w:val="00B75113"/>
    <w:rsid w:val="00C43A6D"/>
    <w:rsid w:val="00C71EE2"/>
    <w:rsid w:val="00CA093B"/>
    <w:rsid w:val="00CF140C"/>
    <w:rsid w:val="00D2233E"/>
    <w:rsid w:val="00D60FC0"/>
    <w:rsid w:val="00D902EE"/>
    <w:rsid w:val="00DB1201"/>
    <w:rsid w:val="00E1211B"/>
    <w:rsid w:val="00E31909"/>
    <w:rsid w:val="00E543EC"/>
    <w:rsid w:val="00E619D7"/>
    <w:rsid w:val="00E85FAF"/>
    <w:rsid w:val="00ED2682"/>
    <w:rsid w:val="00ED402D"/>
    <w:rsid w:val="00F11CF3"/>
    <w:rsid w:val="00F12349"/>
    <w:rsid w:val="00FC41F3"/>
    <w:rsid w:val="00FF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91CC"/>
  <w15:chartTrackingRefBased/>
  <w15:docId w15:val="{BAA29EF5-4C24-4EB5-8BCC-B6D8A117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B3E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F7337"/>
    <w:rPr>
      <w:color w:val="0563C1" w:themeColor="hyperlink"/>
      <w:u w:val="single"/>
    </w:rPr>
  </w:style>
  <w:style w:type="paragraph" w:styleId="BalloonText">
    <w:name w:val="Balloon Text"/>
    <w:basedOn w:val="Normal"/>
    <w:link w:val="BalloonTextChar"/>
    <w:uiPriority w:val="99"/>
    <w:semiHidden/>
    <w:unhideWhenUsed/>
    <w:rsid w:val="00DB1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bu.edu" TargetMode="External"/><Relationship Id="rId5" Type="http://schemas.openxmlformats.org/officeDocument/2006/relationships/hyperlink" Target="http://www.bu.edu/academics/policies/academic-conduct-code/" TargetMode="External"/><Relationship Id="rId4" Type="http://schemas.openxmlformats.org/officeDocument/2006/relationships/hyperlink" Target="mailto:pmehrling@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Mehrling</dc:creator>
  <cp:keywords/>
  <dc:description/>
  <cp:lastModifiedBy>pmehrlin</cp:lastModifiedBy>
  <cp:revision>7</cp:revision>
  <cp:lastPrinted>2020-01-16T18:26:00Z</cp:lastPrinted>
  <dcterms:created xsi:type="dcterms:W3CDTF">2021-01-15T20:52:00Z</dcterms:created>
  <dcterms:modified xsi:type="dcterms:W3CDTF">2021-01-18T16:55:00Z</dcterms:modified>
</cp:coreProperties>
</file>