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A" w:rsidRPr="00192730" w:rsidRDefault="00192730" w:rsidP="0017071A">
      <w:pPr>
        <w:rPr>
          <w:bCs/>
          <w:sz w:val="40"/>
          <w:szCs w:val="40"/>
          <w:lang w:val="es-A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54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22" y="21282"/>
                <wp:lineTo x="21322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345" r="-431" b="16380"/>
                    <a:stretch/>
                  </pic:blipFill>
                  <pic:spPr bwMode="auto">
                    <a:xfrm>
                      <a:off x="0" y="0"/>
                      <a:ext cx="1775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1A" w:rsidRPr="00192730">
        <w:rPr>
          <w:bCs/>
          <w:sz w:val="40"/>
          <w:szCs w:val="40"/>
          <w:lang w:val="es-AR"/>
        </w:rPr>
        <w:t xml:space="preserve">Manténgase a salvo </w:t>
      </w:r>
      <w:r w:rsidR="0017071A" w:rsidRPr="00192730">
        <w:rPr>
          <w:bCs/>
          <w:sz w:val="40"/>
          <w:szCs w:val="40"/>
          <w:lang w:val="es-AR"/>
        </w:rPr>
        <w:br/>
        <w:t>después de un huracán</w:t>
      </w:r>
    </w:p>
    <w:p w:rsidR="0017071A" w:rsidRPr="00192730" w:rsidRDefault="0017071A">
      <w:p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17071A">
        <w:rPr>
          <w:rFonts w:ascii="Calibri" w:eastAsia="+mn-ea" w:hAnsi="Calibri" w:cs="+mn-cs"/>
          <w:color w:val="000000"/>
          <w:kern w:val="24"/>
          <w:sz w:val="24"/>
          <w:szCs w:val="24"/>
          <w:lang w:val="es-ES"/>
        </w:rPr>
        <w:t>Es importante recordar que el peligro no pasa cuando se termina la tormenta.  Obtenga consejos sobre cómo mantener a su familia a salvo después de un huracán.</w:t>
      </w:r>
    </w:p>
    <w:p w:rsidR="00434B4C" w:rsidRPr="00192730" w:rsidRDefault="006545C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CB21B" wp14:editId="52996C48">
                <wp:simplePos x="0" y="0"/>
                <wp:positionH relativeFrom="margin">
                  <wp:align>right</wp:align>
                </wp:positionH>
                <wp:positionV relativeFrom="paragraph">
                  <wp:posOffset>1992</wp:posOffset>
                </wp:positionV>
                <wp:extent cx="5914239" cy="8389"/>
                <wp:effectExtent l="0" t="0" r="2984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239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B4372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.15pt" to="88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17E5C" w:rsidRPr="00BE7143" w:rsidRDefault="00E17E5C">
      <w:pPr>
        <w:rPr>
          <w:b/>
          <w:sz w:val="60"/>
          <w:szCs w:val="60"/>
          <w:lang w:val="es-AR"/>
        </w:rPr>
      </w:pPr>
      <w:r w:rsidRPr="00BE7143">
        <w:rPr>
          <w:b/>
          <w:sz w:val="60"/>
          <w:szCs w:val="60"/>
          <w:lang w:val="es-AR"/>
        </w:rPr>
        <w:t>Cómo desinfectar el agua</w:t>
      </w:r>
    </w:p>
    <w:p w:rsidR="00E17E5C" w:rsidRPr="00E17E5C" w:rsidRDefault="00E17E5C" w:rsidP="00E17E5C">
      <w:pPr>
        <w:pStyle w:val="NormalWeb"/>
        <w:spacing w:before="0" w:beforeAutospacing="0" w:after="0" w:afterAutospacing="0"/>
        <w:rPr>
          <w:lang w:val="es-AR"/>
        </w:rPr>
      </w:pPr>
      <w:r>
        <w:rPr>
          <w:rFonts w:ascii="Calibri" w:eastAsia="+mn-ea" w:hAnsi="Calibri" w:cs="+mn-cs"/>
          <w:color w:val="000000"/>
          <w:kern w:val="24"/>
          <w:lang w:val="es-ES"/>
        </w:rPr>
        <w:t>Después de un desastre natural, es posible que el agua no sea apta para el consumo. Escuche los anuncios de las autoridades locales para saber si puede utilizar el agua.</w:t>
      </w:r>
    </w:p>
    <w:p w:rsidR="00E17E5C" w:rsidRDefault="00E17E5C" w:rsidP="00E17E5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lang w:val="es-AR"/>
        </w:rPr>
      </w:pPr>
    </w:p>
    <w:p w:rsidR="00E17E5C" w:rsidRPr="00E17E5C" w:rsidRDefault="00E17E5C" w:rsidP="00E17E5C">
      <w:pPr>
        <w:pStyle w:val="NormalWeb"/>
        <w:spacing w:before="0" w:beforeAutospacing="0" w:after="0" w:afterAutospacing="0"/>
        <w:rPr>
          <w:lang w:val="es-AR"/>
        </w:rPr>
      </w:pPr>
      <w:r w:rsidRPr="00E17E5C">
        <w:rPr>
          <w:rFonts w:ascii="Calibri" w:eastAsia="+mn-ea" w:hAnsi="Calibri" w:cs="+mn-cs"/>
          <w:b/>
          <w:bCs/>
          <w:color w:val="000000"/>
          <w:kern w:val="24"/>
          <w:lang w:val="es-AR"/>
        </w:rPr>
        <w:t xml:space="preserve">Hierva el agua.  </w:t>
      </w:r>
      <w:r w:rsidRPr="00E17E5C">
        <w:rPr>
          <w:rFonts w:ascii="Calibri" w:eastAsia="+mn-ea" w:hAnsi="Calibri" w:cs="+mn-cs"/>
          <w:color w:val="000000"/>
          <w:kern w:val="24"/>
          <w:lang w:val="es-AR"/>
        </w:rPr>
        <w:t>Si no tiene agua embotellada que sea segura, debe hervirla para hacerla segura. Hervir el agua es el m</w:t>
      </w:r>
      <w:r>
        <w:rPr>
          <w:rFonts w:ascii="Calibri" w:eastAsia="+mn-ea" w:hAnsi="Calibri" w:cs="+mn-cs"/>
          <w:color w:val="000000"/>
          <w:kern w:val="24"/>
          <w:lang w:val="es-AR"/>
        </w:rPr>
        <w:t>étodo más eficaz para hacerla segura para beber, ya que mata los organismos que causan enfermedades, incluidos los virus, las bacterias y los parásitos.</w:t>
      </w:r>
    </w:p>
    <w:p w:rsidR="00702A2C" w:rsidRDefault="00702A2C" w:rsidP="00E17E5C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AR"/>
        </w:rPr>
      </w:pPr>
    </w:p>
    <w:p w:rsidR="00E17E5C" w:rsidRDefault="00E17E5C" w:rsidP="00D76054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AR"/>
        </w:rPr>
      </w:pPr>
      <w:r>
        <w:rPr>
          <w:rFonts w:ascii="Calibri" w:eastAsia="+mn-ea" w:hAnsi="Calibri" w:cs="+mn-cs"/>
          <w:color w:val="000000"/>
          <w:kern w:val="24"/>
          <w:lang w:val="es-AR"/>
        </w:rPr>
        <w:t>Si el agua es clara:</w:t>
      </w:r>
      <w:bookmarkStart w:id="0" w:name="_GoBack"/>
      <w:bookmarkEnd w:id="0"/>
    </w:p>
    <w:p w:rsidR="00E17E5C" w:rsidRPr="00E17E5C" w:rsidRDefault="00E17E5C" w:rsidP="00E17E5C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Hierva el agua clara y siga hirviéndola durante un minuto (en altitudes de más de 6500 pies, hiérvala durante tres minutos).</w:t>
      </w:r>
    </w:p>
    <w:p w:rsidR="00E17E5C" w:rsidRPr="00E17E5C" w:rsidRDefault="00E17E5C" w:rsidP="00E17E5C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Deje que el agua hervida se enfríe.</w:t>
      </w:r>
    </w:p>
    <w:p w:rsidR="00E17E5C" w:rsidRPr="00E17E5C" w:rsidRDefault="00E17E5C" w:rsidP="00E17E5C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Guarde el agua hervida en recipientes limpios y desinfectados con tapas herméticas.</w:t>
      </w:r>
    </w:p>
    <w:p w:rsidR="00E17E5C" w:rsidRDefault="00E17E5C" w:rsidP="00E17E5C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AR"/>
        </w:rPr>
      </w:pPr>
    </w:p>
    <w:p w:rsidR="00E17E5C" w:rsidRPr="00E17E5C" w:rsidRDefault="00E17E5C" w:rsidP="00E17E5C">
      <w:pPr>
        <w:pStyle w:val="NormalWeb"/>
        <w:spacing w:before="0" w:beforeAutospacing="0" w:after="0" w:afterAutospacing="0"/>
        <w:ind w:left="360"/>
        <w:rPr>
          <w:lang w:val="es-AR"/>
        </w:rPr>
      </w:pPr>
      <w:r>
        <w:rPr>
          <w:rFonts w:ascii="Calibri" w:eastAsia="+mn-ea" w:hAnsi="Calibri" w:cs="+mn-cs"/>
          <w:color w:val="000000"/>
          <w:kern w:val="24"/>
          <w:lang w:val="es-AR"/>
        </w:rPr>
        <w:t>Si el agua es turbia:</w:t>
      </w:r>
    </w:p>
    <w:p w:rsidR="00E17E5C" w:rsidRPr="00E17E5C" w:rsidRDefault="00E17E5C" w:rsidP="00E17E5C">
      <w:pPr>
        <w:pStyle w:val="ListParagraph"/>
        <w:numPr>
          <w:ilvl w:val="0"/>
          <w:numId w:val="7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Fíltrela a través de un paño limpio, toalla de papel o filtro de café O permita que se asiente.</w:t>
      </w:r>
    </w:p>
    <w:p w:rsidR="00E17E5C" w:rsidRPr="00E17E5C" w:rsidRDefault="00E17E5C" w:rsidP="00E17E5C">
      <w:pPr>
        <w:pStyle w:val="ListParagraph"/>
        <w:numPr>
          <w:ilvl w:val="0"/>
          <w:numId w:val="7"/>
        </w:numPr>
        <w:ind w:left="1080"/>
      </w:pPr>
      <w:r>
        <w:rPr>
          <w:rFonts w:ascii="Calibri" w:eastAsia="+mn-ea" w:hAnsi="Calibri" w:cs="+mn-cs"/>
          <w:color w:val="000000"/>
          <w:kern w:val="24"/>
          <w:lang w:val="es-AR"/>
        </w:rPr>
        <w:t>Drene el agua clara.</w:t>
      </w:r>
    </w:p>
    <w:p w:rsidR="00E17E5C" w:rsidRPr="00E17E5C" w:rsidRDefault="00E17E5C" w:rsidP="00E17E5C">
      <w:pPr>
        <w:pStyle w:val="ListParagraph"/>
        <w:numPr>
          <w:ilvl w:val="0"/>
          <w:numId w:val="7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Hierva el agua clara y siga hirviéndola durante un minuto (en altitudes de más de 6500 pies, hiérvala durante tres minutos).</w:t>
      </w:r>
    </w:p>
    <w:p w:rsidR="00E17E5C" w:rsidRPr="00E17E5C" w:rsidRDefault="00E17E5C" w:rsidP="00E17E5C">
      <w:pPr>
        <w:pStyle w:val="ListParagraph"/>
        <w:numPr>
          <w:ilvl w:val="0"/>
          <w:numId w:val="7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Deje que el agua hervida se enfríe.</w:t>
      </w:r>
    </w:p>
    <w:p w:rsidR="00E17E5C" w:rsidRPr="00E17E5C" w:rsidRDefault="00E17E5C" w:rsidP="00E17E5C">
      <w:pPr>
        <w:pStyle w:val="ListParagraph"/>
        <w:numPr>
          <w:ilvl w:val="0"/>
          <w:numId w:val="7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AR"/>
        </w:rPr>
        <w:t>Guarde el agua hervida en recipientes limpios y desinfectados con tapas herméticas.</w:t>
      </w:r>
    </w:p>
    <w:p w:rsidR="00E17E5C" w:rsidRDefault="00E17E5C" w:rsidP="00E17E5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lang w:val="es-AR"/>
        </w:rPr>
      </w:pPr>
    </w:p>
    <w:p w:rsidR="00E17E5C" w:rsidRPr="00E17E5C" w:rsidRDefault="00E17E5C" w:rsidP="00E17E5C">
      <w:pPr>
        <w:pStyle w:val="NormalWeb"/>
        <w:spacing w:before="0" w:beforeAutospacing="0" w:after="0" w:afterAutospacing="0"/>
        <w:rPr>
          <w:lang w:val="es-AR"/>
        </w:rPr>
      </w:pPr>
      <w:r w:rsidRPr="00E17E5C">
        <w:rPr>
          <w:rFonts w:ascii="Calibri" w:eastAsia="+mn-ea" w:hAnsi="Calibri" w:cs="+mn-cs"/>
          <w:b/>
          <w:bCs/>
          <w:color w:val="000000"/>
          <w:kern w:val="24"/>
          <w:lang w:val="es-AR"/>
        </w:rPr>
        <w:t>U</w:t>
      </w:r>
      <w:r>
        <w:rPr>
          <w:rFonts w:ascii="Calibri" w:eastAsia="+mn-ea" w:hAnsi="Calibri" w:cs="+mn-cs"/>
          <w:b/>
          <w:bCs/>
          <w:color w:val="000000"/>
          <w:kern w:val="24"/>
          <w:lang w:val="es-ES"/>
        </w:rPr>
        <w:t>tilice cloro que no tenga otros olores (como limón).</w:t>
      </w:r>
      <w:r>
        <w:rPr>
          <w:rFonts w:ascii="Calibri" w:eastAsia="+mn-ea" w:hAnsi="Calibri" w:cs="+mn-cs"/>
          <w:b/>
          <w:bCs/>
          <w:color w:val="000000"/>
          <w:kern w:val="24"/>
          <w:lang w:val="es-AR"/>
        </w:rPr>
        <w:t xml:space="preserve">  </w:t>
      </w:r>
      <w:r>
        <w:rPr>
          <w:rFonts w:ascii="Calibri" w:eastAsia="+mn-ea" w:hAnsi="Calibri" w:cs="+mn-cs"/>
          <w:color w:val="000000"/>
          <w:kern w:val="24"/>
          <w:lang w:val="es-AR"/>
        </w:rPr>
        <w:t>C</w:t>
      </w:r>
      <w:r w:rsidRPr="00E17E5C">
        <w:rPr>
          <w:rFonts w:ascii="Calibri" w:eastAsia="+mn-ea" w:hAnsi="Calibri" w:cs="+mn-cs"/>
          <w:color w:val="000000"/>
          <w:kern w:val="24"/>
          <w:lang w:val="es-AR"/>
        </w:rPr>
        <w:t xml:space="preserve">on un poco de cloro se puede hacer que el agua se pueda utilizar en forma segura. </w:t>
      </w:r>
    </w:p>
    <w:p w:rsidR="00702A2C" w:rsidRDefault="00702A2C" w:rsidP="00E17E5C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AR"/>
        </w:rPr>
      </w:pPr>
    </w:p>
    <w:p w:rsidR="00E17E5C" w:rsidRPr="00E17E5C" w:rsidRDefault="00E17E5C" w:rsidP="00E17E5C">
      <w:pPr>
        <w:pStyle w:val="NormalWeb"/>
        <w:spacing w:before="0" w:beforeAutospacing="0" w:after="0" w:afterAutospacing="0"/>
        <w:ind w:left="360"/>
        <w:rPr>
          <w:lang w:val="es-AR"/>
        </w:rPr>
      </w:pPr>
      <w:r>
        <w:rPr>
          <w:rFonts w:ascii="Calibri" w:eastAsia="+mn-ea" w:hAnsi="Calibri" w:cs="+mn-cs"/>
          <w:color w:val="000000"/>
          <w:kern w:val="24"/>
          <w:lang w:val="es-AR"/>
        </w:rPr>
        <w:t>Si el agua es clara:</w:t>
      </w:r>
    </w:p>
    <w:p w:rsidR="00E17E5C" w:rsidRPr="00E17E5C" w:rsidRDefault="00E17E5C" w:rsidP="00E17E5C">
      <w:pPr>
        <w:pStyle w:val="ListParagraph"/>
        <w:numPr>
          <w:ilvl w:val="0"/>
          <w:numId w:val="8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Si utiliza cloro líquido de uso doméstico al 5-6 %, agregue un poco menos de 1/8 de cucharadita (8 gotas o alrededor de 0.5 mililitros) a un galón (16 tazas) de agua.</w:t>
      </w:r>
    </w:p>
    <w:p w:rsidR="00E17E5C" w:rsidRPr="00E17E5C" w:rsidRDefault="00E17E5C" w:rsidP="00E17E5C">
      <w:pPr>
        <w:pStyle w:val="ListParagraph"/>
        <w:numPr>
          <w:ilvl w:val="0"/>
          <w:numId w:val="8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Si utiliza cloro líquido de uso doméstico al 8.25 %, agregue un poco menos de 1/8 de cucharadita (6 gotas o alrededor de 0.5 mililitros) a un galón (16 tazas) de agua.</w:t>
      </w:r>
    </w:p>
    <w:p w:rsidR="00E17E5C" w:rsidRPr="00E17E5C" w:rsidRDefault="00E17E5C" w:rsidP="00E17E5C">
      <w:pPr>
        <w:pStyle w:val="ListParagraph"/>
        <w:numPr>
          <w:ilvl w:val="0"/>
          <w:numId w:val="8"/>
        </w:numPr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Mezcle bien y espere al menos 30 minutos o más antes de usar el agua.</w:t>
      </w:r>
    </w:p>
    <w:p w:rsidR="00702A2C" w:rsidRDefault="00702A2C" w:rsidP="00E17E5C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AR"/>
        </w:rPr>
      </w:pPr>
    </w:p>
    <w:p w:rsidR="00E17E5C" w:rsidRDefault="00E17E5C" w:rsidP="00E17E5C">
      <w:pPr>
        <w:pStyle w:val="NormalWeb"/>
        <w:spacing w:before="0" w:beforeAutospacing="0" w:after="0" w:afterAutospacing="0"/>
        <w:ind w:left="360"/>
        <w:rPr>
          <w:rFonts w:ascii="Calibri" w:eastAsia="+mn-ea" w:hAnsi="Calibri" w:cs="+mn-cs"/>
          <w:color w:val="000000"/>
          <w:kern w:val="24"/>
          <w:lang w:val="es-ES"/>
        </w:rPr>
      </w:pPr>
      <w:r>
        <w:rPr>
          <w:rFonts w:ascii="Calibri" w:eastAsia="+mn-ea" w:hAnsi="Calibri" w:cs="+mn-cs"/>
          <w:color w:val="000000"/>
          <w:kern w:val="24"/>
          <w:lang w:val="es-AR"/>
        </w:rPr>
        <w:t xml:space="preserve">Si el agua es turbia </w:t>
      </w:r>
      <w:r>
        <w:rPr>
          <w:rFonts w:ascii="Calibri" w:eastAsia="+mn-ea" w:hAnsi="Calibri" w:cs="+mn-cs"/>
          <w:color w:val="000000"/>
          <w:kern w:val="24"/>
          <w:lang w:val="es-ES"/>
        </w:rPr>
        <w:t>:</w:t>
      </w:r>
    </w:p>
    <w:p w:rsidR="00E17E5C" w:rsidRPr="00E17E5C" w:rsidRDefault="00E17E5C" w:rsidP="00E17E5C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Si utiliza cloro líquido de uso doméstico al 5-6 %, agregue un poco menos de ¼ de cucharadita (16 gotas o alrededor de 1 mililitro) a un galón (16 tazas) de agua.</w:t>
      </w:r>
    </w:p>
    <w:p w:rsidR="00E17E5C" w:rsidRPr="00E17E5C" w:rsidRDefault="00E17E5C" w:rsidP="00E17E5C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Si utiliza cloro líquido de uso doméstico al 8.25 %, agregue 12 gotas (o alrededor de 1 mililitro) a cada galón (16 tazas) de agua.</w:t>
      </w:r>
    </w:p>
    <w:p w:rsidR="00E17E5C" w:rsidRPr="00E17E5C" w:rsidRDefault="00E17E5C" w:rsidP="00E17E5C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Mezcle bien y espere al menos 30 minutos o más antes de usar el agua.</w:t>
      </w:r>
    </w:p>
    <w:p w:rsidR="00E17E5C" w:rsidRDefault="00E17E5C" w:rsidP="00E17E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lang w:val="es-AR"/>
        </w:rPr>
      </w:pPr>
    </w:p>
    <w:p w:rsidR="00E17E5C" w:rsidRDefault="00E17E5C" w:rsidP="00E17E5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lang w:val="es-AR"/>
        </w:rPr>
      </w:pPr>
      <w:r>
        <w:rPr>
          <w:rFonts w:ascii="Calibri" w:eastAsia="+mn-ea" w:hAnsi="Calibri" w:cs="+mn-cs"/>
          <w:color w:val="000000"/>
          <w:kern w:val="24"/>
          <w:lang w:val="es-AR"/>
        </w:rPr>
        <w:t>Recuerda:</w:t>
      </w:r>
    </w:p>
    <w:p w:rsidR="00E17E5C" w:rsidRPr="00E17E5C" w:rsidRDefault="00E17E5C" w:rsidP="00E17E5C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Nunca mezcle cloro con amoníaco ni con otros productos de limpieza.</w:t>
      </w:r>
    </w:p>
    <w:p w:rsidR="00E17E5C" w:rsidRPr="00E17E5C" w:rsidRDefault="00E17E5C" w:rsidP="00E17E5C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s-AR"/>
        </w:rPr>
      </w:pPr>
      <w:r w:rsidRPr="00E17E5C">
        <w:rPr>
          <w:rFonts w:ascii="Calibri" w:eastAsia="+mn-ea" w:hAnsi="Calibri" w:cs="+mn-cs"/>
          <w:color w:val="000000"/>
          <w:kern w:val="24"/>
          <w:lang w:val="es-ES"/>
        </w:rPr>
        <w:t>Cuando utilice cloro, abra puertas y ventanas para que el lugar se ventile</w:t>
      </w:r>
    </w:p>
    <w:p w:rsidR="00E17E5C" w:rsidRPr="00E17E5C" w:rsidRDefault="00E17E5C">
      <w:pPr>
        <w:rPr>
          <w:lang w:val="es-AR"/>
        </w:rPr>
      </w:pPr>
    </w:p>
    <w:p w:rsidR="00E17E5C" w:rsidRPr="00E17E5C" w:rsidRDefault="00CC43F8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1484630</wp:posOffset>
            </wp:positionV>
            <wp:extent cx="1316355" cy="575945"/>
            <wp:effectExtent l="0" t="0" r="0" b="0"/>
            <wp:wrapTopAndBottom/>
            <wp:docPr id="2" name="Picture 2" descr="C:\Users\cblyden\AppData\Local\Microsoft\Windows\Temporary Internet Files\Content.Word\PHLN_Medallion_Wrd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lyden\AppData\Local\Microsoft\Windows\Temporary Internet Files\Content.Word\PHLN_Medallion_WrdM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1BA0" wp14:editId="5A859ACC">
                <wp:simplePos x="0" y="0"/>
                <wp:positionH relativeFrom="margin">
                  <wp:align>right</wp:align>
                </wp:positionH>
                <wp:positionV relativeFrom="paragraph">
                  <wp:posOffset>377866</wp:posOffset>
                </wp:positionV>
                <wp:extent cx="5939406" cy="106540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06" cy="10654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730" w:rsidRDefault="00E17E5C" w:rsidP="00E17E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Adaptado de un artículo publicado por 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Departamento de Salud y Servicios Humanos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, Centro para el Control y la Prevención de Enfermedades (CDC) </w:t>
                            </w:r>
                          </w:p>
                          <w:p w:rsidR="00E17E5C" w:rsidRPr="00192730" w:rsidRDefault="00D76054" w:rsidP="00E17E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s-AR"/>
                              </w:rPr>
                            </w:pPr>
                            <w:hyperlink r:id="rId7" w:history="1">
                              <w:r w:rsidRPr="00192730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AR"/>
                                </w:rPr>
                                <w:t>https://www.cdc.gov/healthywater/emergency/pdf/make-water-safe-sp.pdf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 </w:t>
                            </w:r>
                          </w:p>
                          <w:p w:rsidR="00E17E5C" w:rsidRPr="00192730" w:rsidRDefault="00E17E5C" w:rsidP="00E17E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Presentado por </w:t>
                            </w:r>
                            <w:r w:rsidR="00192730"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Departamento de Salud de Puerto Rico, 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Imapctivo</w:t>
                            </w:r>
                            <w:r w:rsidR="00192730"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,</w:t>
                            </w:r>
                            <w:r w:rsidR="00CC43F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y el Public  Health Learning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Network (PHLN)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1BA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6.45pt;margin-top:29.75pt;width:467.65pt;height:8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" filled="f" stroked="f">
                <v:textbox>
                  <w:txbxContent>
                    <w:p w:rsidR="00192730" w:rsidRDefault="00E17E5C" w:rsidP="00E17E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Adaptado de un artículo publicado por 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Departamento de Salud y Servicios Humanos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, Centro para el Control y la Prevención de Enfermedades (CDC) </w:t>
                      </w:r>
                    </w:p>
                    <w:p w:rsidR="00E17E5C" w:rsidRPr="00192730" w:rsidRDefault="00D76054" w:rsidP="00E17E5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s-AR"/>
                        </w:rPr>
                      </w:pPr>
                      <w:hyperlink r:id="rId8" w:history="1">
                        <w:r w:rsidRPr="00192730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s-AR"/>
                          </w:rPr>
                          <w:t>https://www.cdc.gov/healthywater/emergency/pdf/make-water-safe-sp.pdf</w:t>
                        </w:r>
                      </w:hyperlink>
                      <w:r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  </w:t>
                      </w:r>
                    </w:p>
                    <w:p w:rsidR="00E17E5C" w:rsidRPr="00192730" w:rsidRDefault="00E17E5C" w:rsidP="00E17E5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Presentado por </w:t>
                      </w:r>
                      <w:r w:rsidR="00192730"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Departamento de Salud de Puerto Rico, 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Imapctivo</w:t>
                      </w:r>
                      <w:r w:rsidR="00192730"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,</w:t>
                      </w:r>
                      <w:r w:rsidR="00CC43F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y el Public  Health Learning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Network (PHLN)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5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1543184</wp:posOffset>
            </wp:positionH>
            <wp:positionV relativeFrom="paragraph">
              <wp:posOffset>1551706</wp:posOffset>
            </wp:positionV>
            <wp:extent cx="1090295" cy="494665"/>
            <wp:effectExtent l="0" t="0" r="0" b="635"/>
            <wp:wrapTopAndBottom/>
            <wp:docPr id="3" name="Picture 3" descr="C:\Users\cblyden\Pictures\NEPH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lyden\Pictures\NEPHT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C0" w:rsidRPr="00192730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1551305</wp:posOffset>
            </wp:positionV>
            <wp:extent cx="1450975" cy="486410"/>
            <wp:effectExtent l="0" t="0" r="0" b="8890"/>
            <wp:wrapTopAndBottom/>
            <wp:docPr id="6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C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1526173</wp:posOffset>
            </wp:positionV>
            <wp:extent cx="1840865" cy="511175"/>
            <wp:effectExtent l="0" t="0" r="6985" b="3175"/>
            <wp:wrapTopAndBottom/>
            <wp:docPr id="4" name="Picture 4" descr="https://region2phtc.files.wordpress.com/2016/10/region2phtc-logo_horizontal-color-whiteback-withtag.png?w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gion2phtc.files.wordpress.com/2016/10/region2phtc-logo_horizontal-color-whiteback-withtag.png?w=5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184784</wp:posOffset>
                </wp:positionV>
                <wp:extent cx="5914239" cy="16912"/>
                <wp:effectExtent l="0" t="0" r="298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239" cy="16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365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14.55pt" to="880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17E5C" w:rsidRPr="00E1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EA5"/>
    <w:multiLevelType w:val="hybridMultilevel"/>
    <w:tmpl w:val="0BA6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3EF"/>
    <w:multiLevelType w:val="hybridMultilevel"/>
    <w:tmpl w:val="69184B24"/>
    <w:lvl w:ilvl="0" w:tplc="2690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48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6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4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6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B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A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2E4E6C"/>
    <w:multiLevelType w:val="hybridMultilevel"/>
    <w:tmpl w:val="86B0A138"/>
    <w:lvl w:ilvl="0" w:tplc="5768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E8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4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C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4C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4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8E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91C25"/>
    <w:multiLevelType w:val="hybridMultilevel"/>
    <w:tmpl w:val="B6BA8A2C"/>
    <w:lvl w:ilvl="0" w:tplc="5452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86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2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7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8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87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BD4761"/>
    <w:multiLevelType w:val="hybridMultilevel"/>
    <w:tmpl w:val="4FF043A0"/>
    <w:lvl w:ilvl="0" w:tplc="BBDC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86B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C6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6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512A2"/>
    <w:multiLevelType w:val="hybridMultilevel"/>
    <w:tmpl w:val="FF8E866A"/>
    <w:lvl w:ilvl="0" w:tplc="FD18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2E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C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0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67079E"/>
    <w:multiLevelType w:val="hybridMultilevel"/>
    <w:tmpl w:val="EB6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88F"/>
    <w:multiLevelType w:val="hybridMultilevel"/>
    <w:tmpl w:val="FCAA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5D9"/>
    <w:multiLevelType w:val="hybridMultilevel"/>
    <w:tmpl w:val="14BE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43D9"/>
    <w:multiLevelType w:val="hybridMultilevel"/>
    <w:tmpl w:val="33E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5C"/>
    <w:rsid w:val="0017071A"/>
    <w:rsid w:val="00192730"/>
    <w:rsid w:val="002737D9"/>
    <w:rsid w:val="006545C0"/>
    <w:rsid w:val="00702A2C"/>
    <w:rsid w:val="00B33BC8"/>
    <w:rsid w:val="00BE7143"/>
    <w:rsid w:val="00CC43F8"/>
    <w:rsid w:val="00D76054"/>
    <w:rsid w:val="00E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B3CF-1798-49DF-948B-6E75875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3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3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emergency/pdf/make-water-safe-s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water/emergency/pdf/make-water-safe-s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2051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Blyden, Charoma</dc:creator>
  <cp:keywords/>
  <dc:description/>
  <cp:lastModifiedBy>Blyden, Charoma</cp:lastModifiedBy>
  <cp:revision>6</cp:revision>
  <dcterms:created xsi:type="dcterms:W3CDTF">2017-09-28T20:24:00Z</dcterms:created>
  <dcterms:modified xsi:type="dcterms:W3CDTF">2017-09-29T14:59:00Z</dcterms:modified>
</cp:coreProperties>
</file>