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65C822" w14:textId="77777777" w:rsidR="005D6DFD" w:rsidRDefault="005D6DFD" w:rsidP="005D6DFD">
      <w:pPr>
        <w:pStyle w:val="Heading5"/>
        <w:spacing w:before="0"/>
        <w:jc w:val="center"/>
      </w:pPr>
      <w:bookmarkStart w:id="0" w:name="_Candidate_Professional_Practice"/>
      <w:bookmarkStart w:id="1" w:name="_GoBack"/>
      <w:bookmarkEnd w:id="0"/>
      <w:bookmarkEnd w:id="1"/>
      <w:r>
        <w:t>Candidate Professional Practice Goal(s) &amp; Implementation Plan</w:t>
      </w:r>
    </w:p>
    <w:p w14:paraId="61BB97A4" w14:textId="77777777" w:rsidR="005D6DFD" w:rsidRPr="006E1727" w:rsidRDefault="005D6DFD" w:rsidP="005D6DFD">
      <w:pPr>
        <w:rPr>
          <w:sz w:val="22"/>
        </w:rPr>
      </w:pPr>
    </w:p>
    <w:tbl>
      <w:tblPr>
        <w:tblStyle w:val="TableGrid2"/>
        <w:tblW w:w="0" w:type="auto"/>
        <w:tblLook w:val="04A0" w:firstRow="1" w:lastRow="0" w:firstColumn="1" w:lastColumn="0" w:noHBand="0" w:noVBand="1"/>
      </w:tblPr>
      <w:tblGrid>
        <w:gridCol w:w="993"/>
        <w:gridCol w:w="5018"/>
        <w:gridCol w:w="1172"/>
        <w:gridCol w:w="2393"/>
      </w:tblGrid>
      <w:tr w:rsidR="003E63FF" w:rsidRPr="006E1727" w14:paraId="2C481750" w14:textId="77777777" w:rsidTr="008B4773">
        <w:trPr>
          <w:trHeight w:val="260"/>
        </w:trPr>
        <w:tc>
          <w:tcPr>
            <w:tcW w:w="1008" w:type="dxa"/>
            <w:shd w:val="clear" w:color="auto" w:fill="F2F2F2"/>
          </w:tcPr>
          <w:p w14:paraId="74B55FDE" w14:textId="77777777" w:rsidR="005D6DFD" w:rsidRPr="006E1727" w:rsidRDefault="005D6DFD" w:rsidP="0051652C">
            <w:pPr>
              <w:rPr>
                <w:rFonts w:ascii="Calibri" w:eastAsia="Cambria" w:hAnsi="Calibri" w:cs="Times New Roman"/>
              </w:rPr>
            </w:pPr>
            <w:r w:rsidRPr="006E1727">
              <w:br w:type="page"/>
            </w:r>
            <w:r w:rsidRPr="006E1727">
              <w:rPr>
                <w:rFonts w:ascii="Calibri" w:eastAsia="Cambria" w:hAnsi="Calibri" w:cs="Times New Roman"/>
              </w:rPr>
              <w:t>Name:</w:t>
            </w:r>
          </w:p>
        </w:tc>
        <w:tc>
          <w:tcPr>
            <w:tcW w:w="5490" w:type="dxa"/>
          </w:tcPr>
          <w:p w14:paraId="6D2BBA10" w14:textId="55D234ED" w:rsidR="005D6DFD" w:rsidRPr="006E1727" w:rsidRDefault="00003579" w:rsidP="0051652C">
            <w:pPr>
              <w:jc w:val="center"/>
              <w:rPr>
                <w:rFonts w:ascii="Calibri" w:eastAsia="Cambria" w:hAnsi="Calibri" w:cs="Times New Roman"/>
              </w:rPr>
            </w:pPr>
            <w:r>
              <w:rPr>
                <w:rFonts w:ascii="Calibri" w:eastAsia="Cambria" w:hAnsi="Calibri" w:cs="Times New Roman"/>
              </w:rPr>
              <w:t>XXXXXXX</w:t>
            </w:r>
          </w:p>
        </w:tc>
        <w:tc>
          <w:tcPr>
            <w:tcW w:w="1224" w:type="dxa"/>
            <w:shd w:val="clear" w:color="auto" w:fill="F2F2F2"/>
          </w:tcPr>
          <w:p w14:paraId="418DDFBD" w14:textId="77777777" w:rsidR="005D6DFD" w:rsidRPr="006E1727" w:rsidRDefault="005D6DFD" w:rsidP="0051652C">
            <w:pPr>
              <w:jc w:val="center"/>
              <w:rPr>
                <w:rFonts w:ascii="Calibri" w:eastAsia="Cambria" w:hAnsi="Calibri" w:cs="Times New Roman"/>
              </w:rPr>
            </w:pPr>
            <w:r w:rsidRPr="006E1727">
              <w:rPr>
                <w:rFonts w:ascii="Calibri" w:eastAsia="Cambria" w:hAnsi="Calibri" w:cs="Times New Roman"/>
              </w:rPr>
              <w:t>Date:</w:t>
            </w:r>
          </w:p>
        </w:tc>
        <w:tc>
          <w:tcPr>
            <w:tcW w:w="2574" w:type="dxa"/>
          </w:tcPr>
          <w:p w14:paraId="7ACD2D19" w14:textId="77777777" w:rsidR="005D6DFD" w:rsidRPr="006E1727" w:rsidRDefault="003E63FF" w:rsidP="0051652C">
            <w:pPr>
              <w:jc w:val="center"/>
              <w:rPr>
                <w:rFonts w:ascii="Calibri" w:eastAsia="Cambria" w:hAnsi="Calibri" w:cs="Times New Roman"/>
              </w:rPr>
            </w:pPr>
            <w:r>
              <w:rPr>
                <w:rFonts w:ascii="Calibri" w:eastAsia="Cambria" w:hAnsi="Calibri" w:cs="Times New Roman"/>
              </w:rPr>
              <w:t>2/7/17</w:t>
            </w:r>
          </w:p>
        </w:tc>
      </w:tr>
    </w:tbl>
    <w:p w14:paraId="64B31C05" w14:textId="77777777" w:rsidR="005D6DFD" w:rsidRPr="006E1727" w:rsidRDefault="005D6DFD" w:rsidP="005D6DFD"/>
    <w:p w14:paraId="4646E25A" w14:textId="77777777" w:rsidR="005D6DFD" w:rsidRDefault="005D6DFD" w:rsidP="005D6DFD">
      <w:r w:rsidRPr="00BF726A">
        <w:rPr>
          <w:b/>
        </w:rPr>
        <w:t>Goal(s)</w:t>
      </w:r>
      <w:r>
        <w:t>: Based on the candidate’s self-assessment and the baseline ratings determined by the Program Supervisor and Supervising Practitioner, the candidate has set the following S.M.A.R.T goal(s):</w:t>
      </w:r>
    </w:p>
    <w:tbl>
      <w:tblPr>
        <w:tblStyle w:val="TableGrid2"/>
        <w:tblpPr w:leftFromText="180" w:rightFromText="180" w:vertAnchor="text" w:tblpY="100"/>
        <w:tblW w:w="0" w:type="auto"/>
        <w:tblLook w:val="04A0" w:firstRow="1" w:lastRow="0" w:firstColumn="1" w:lastColumn="0" w:noHBand="0" w:noVBand="1"/>
      </w:tblPr>
      <w:tblGrid>
        <w:gridCol w:w="2253"/>
        <w:gridCol w:w="4911"/>
        <w:gridCol w:w="2412"/>
      </w:tblGrid>
      <w:tr w:rsidR="005D6DFD" w:rsidRPr="006E1727" w14:paraId="2D447B41" w14:textId="77777777" w:rsidTr="0051652C">
        <w:trPr>
          <w:trHeight w:val="241"/>
        </w:trPr>
        <w:tc>
          <w:tcPr>
            <w:tcW w:w="2358" w:type="dxa"/>
            <w:vMerge w:val="restart"/>
            <w:shd w:val="clear" w:color="auto" w:fill="B8CCE4"/>
            <w:vAlign w:val="center"/>
          </w:tcPr>
          <w:p w14:paraId="28667E2C" w14:textId="77777777" w:rsidR="005D6DFD" w:rsidRPr="006E1727" w:rsidRDefault="005D6DFD" w:rsidP="0051652C">
            <w:pPr>
              <w:jc w:val="center"/>
              <w:rPr>
                <w:rFonts w:ascii="Calibri" w:eastAsia="Cambria" w:hAnsi="Calibri" w:cs="Times New Roman"/>
                <w:b/>
              </w:rPr>
            </w:pPr>
            <w:r>
              <w:rPr>
                <w:rFonts w:ascii="Calibri" w:eastAsia="Cambria" w:hAnsi="Calibri" w:cs="Times New Roman"/>
                <w:b/>
              </w:rPr>
              <w:t>CAP Professional Practice Goal(s)</w:t>
            </w:r>
          </w:p>
        </w:tc>
        <w:tc>
          <w:tcPr>
            <w:tcW w:w="5357" w:type="dxa"/>
            <w:vMerge w:val="restart"/>
            <w:tcBorders>
              <w:right w:val="single" w:sz="4" w:space="0" w:color="595959" w:themeColor="text1" w:themeTint="A6"/>
            </w:tcBorders>
            <w:vAlign w:val="center"/>
          </w:tcPr>
          <w:p w14:paraId="7F0331E7" w14:textId="7AE46754" w:rsidR="005D6DFD" w:rsidRPr="006E1727" w:rsidRDefault="009F6D71" w:rsidP="0051652C">
            <w:pPr>
              <w:rPr>
                <w:rFonts w:ascii="Calibri" w:eastAsia="Cambria" w:hAnsi="Calibri" w:cs="Times New Roman"/>
              </w:rPr>
            </w:pPr>
            <w:r>
              <w:rPr>
                <w:sz w:val="20"/>
                <w:szCs w:val="20"/>
              </w:rPr>
              <w:t xml:space="preserve">During the term, I will implement practices to increase student engagement in order to get a fuller idea of all students’ understanding; this will include wider checks for understanding and discussion, both during the after class, making changes to lessons between classes as needed. </w:t>
            </w:r>
          </w:p>
        </w:tc>
        <w:tc>
          <w:tcPr>
            <w:tcW w:w="2581" w:type="dxa"/>
            <w:tcBorders>
              <w:left w:val="single" w:sz="4" w:space="0" w:color="595959" w:themeColor="text1" w:themeTint="A6"/>
              <w:bottom w:val="single" w:sz="4" w:space="0" w:color="595959" w:themeColor="text1" w:themeTint="A6"/>
            </w:tcBorders>
            <w:shd w:val="clear" w:color="auto" w:fill="DBE5F1" w:themeFill="accent1" w:themeFillTint="33"/>
            <w:vAlign w:val="center"/>
          </w:tcPr>
          <w:p w14:paraId="389E558B" w14:textId="77777777" w:rsidR="005D6DFD" w:rsidRPr="006E1727" w:rsidRDefault="005D6DFD" w:rsidP="0051652C">
            <w:pPr>
              <w:jc w:val="center"/>
              <w:rPr>
                <w:rFonts w:ascii="Calibri" w:eastAsia="Cambria" w:hAnsi="Calibri" w:cs="Times New Roman"/>
              </w:rPr>
            </w:pPr>
            <w:r>
              <w:rPr>
                <w:rFonts w:ascii="Calibri" w:eastAsia="Cambria" w:hAnsi="Calibri" w:cs="Times New Roman"/>
              </w:rPr>
              <w:t>Essential Element</w:t>
            </w:r>
          </w:p>
        </w:tc>
      </w:tr>
      <w:tr w:rsidR="005D6DFD" w:rsidRPr="006E1727" w14:paraId="60577704" w14:textId="77777777" w:rsidTr="0051652C">
        <w:trPr>
          <w:trHeight w:val="2235"/>
        </w:trPr>
        <w:tc>
          <w:tcPr>
            <w:tcW w:w="2358" w:type="dxa"/>
            <w:vMerge/>
            <w:shd w:val="clear" w:color="auto" w:fill="B8CCE4"/>
            <w:vAlign w:val="center"/>
          </w:tcPr>
          <w:p w14:paraId="37394A93" w14:textId="77777777" w:rsidR="005D6DFD" w:rsidRDefault="005D6DFD" w:rsidP="0051652C">
            <w:pPr>
              <w:jc w:val="center"/>
              <w:rPr>
                <w:rFonts w:ascii="Calibri" w:eastAsia="Cambria" w:hAnsi="Calibri" w:cs="Times New Roman"/>
                <w:b/>
              </w:rPr>
            </w:pPr>
          </w:p>
        </w:tc>
        <w:tc>
          <w:tcPr>
            <w:tcW w:w="5357" w:type="dxa"/>
            <w:vMerge/>
            <w:tcBorders>
              <w:right w:val="single" w:sz="4" w:space="0" w:color="595959" w:themeColor="text1" w:themeTint="A6"/>
            </w:tcBorders>
            <w:vAlign w:val="center"/>
          </w:tcPr>
          <w:p w14:paraId="2BEEBAB3" w14:textId="77777777" w:rsidR="005D6DFD" w:rsidRPr="006E1727" w:rsidRDefault="005D6DFD" w:rsidP="0051652C">
            <w:pPr>
              <w:rPr>
                <w:rFonts w:ascii="Calibri" w:eastAsia="Cambria" w:hAnsi="Calibri" w:cs="Times New Roman"/>
              </w:rPr>
            </w:pPr>
          </w:p>
        </w:tc>
        <w:tc>
          <w:tcPr>
            <w:tcW w:w="2581" w:type="dxa"/>
            <w:tcBorders>
              <w:top w:val="single" w:sz="4" w:space="0" w:color="595959" w:themeColor="text1" w:themeTint="A6"/>
              <w:left w:val="single" w:sz="4" w:space="0" w:color="595959" w:themeColor="text1" w:themeTint="A6"/>
            </w:tcBorders>
            <w:vAlign w:val="center"/>
          </w:tcPr>
          <w:p w14:paraId="73698737" w14:textId="245EDE98" w:rsidR="0007574A" w:rsidRDefault="0007574A" w:rsidP="00377FC3">
            <w:pPr>
              <w:pStyle w:val="TableText"/>
              <w:rPr>
                <w:rFonts w:asciiTheme="minorHAnsi" w:hAnsiTheme="minorHAnsi"/>
                <w:sz w:val="18"/>
                <w:szCs w:val="18"/>
              </w:rPr>
            </w:pPr>
            <w:r>
              <w:rPr>
                <w:rFonts w:asciiTheme="minorHAnsi" w:hAnsiTheme="minorHAnsi"/>
                <w:sz w:val="18"/>
                <w:szCs w:val="18"/>
              </w:rPr>
              <w:t>I-A-4</w:t>
            </w:r>
          </w:p>
          <w:p w14:paraId="195CEF39" w14:textId="1D522531" w:rsidR="0007574A" w:rsidRDefault="0007574A" w:rsidP="00377FC3">
            <w:pPr>
              <w:pStyle w:val="TableText"/>
              <w:rPr>
                <w:rFonts w:asciiTheme="minorHAnsi" w:hAnsiTheme="minorHAnsi"/>
                <w:sz w:val="18"/>
                <w:szCs w:val="18"/>
              </w:rPr>
            </w:pPr>
            <w:r>
              <w:rPr>
                <w:rFonts w:asciiTheme="minorHAnsi" w:hAnsiTheme="minorHAnsi"/>
                <w:sz w:val="18"/>
                <w:szCs w:val="18"/>
              </w:rPr>
              <w:t>Well-Structured Lesson</w:t>
            </w:r>
          </w:p>
          <w:p w14:paraId="78CEEE34" w14:textId="4EBE8ACA" w:rsidR="00377FC3" w:rsidRDefault="0007574A" w:rsidP="00377FC3">
            <w:pPr>
              <w:pStyle w:val="TableText"/>
              <w:rPr>
                <w:rFonts w:asciiTheme="minorHAnsi" w:hAnsiTheme="minorHAnsi"/>
                <w:sz w:val="18"/>
                <w:szCs w:val="18"/>
              </w:rPr>
            </w:pPr>
            <w:r>
              <w:rPr>
                <w:rFonts w:asciiTheme="minorHAnsi" w:hAnsiTheme="minorHAnsi"/>
                <w:sz w:val="18"/>
                <w:szCs w:val="18"/>
              </w:rPr>
              <w:t>2</w:t>
            </w:r>
            <w:r w:rsidR="00377FC3">
              <w:rPr>
                <w:rFonts w:asciiTheme="minorHAnsi" w:hAnsiTheme="minorHAnsi"/>
                <w:sz w:val="18"/>
                <w:szCs w:val="18"/>
              </w:rPr>
              <w:t xml:space="preserve">-E-2. </w:t>
            </w:r>
          </w:p>
          <w:p w14:paraId="36EAC382" w14:textId="77777777" w:rsidR="0007574A" w:rsidRDefault="00377FC3" w:rsidP="0007574A">
            <w:pPr>
              <w:rPr>
                <w:sz w:val="18"/>
                <w:szCs w:val="18"/>
              </w:rPr>
            </w:pPr>
            <w:r>
              <w:rPr>
                <w:sz w:val="18"/>
                <w:szCs w:val="18"/>
              </w:rPr>
              <w:t>Teacher Questioning</w:t>
            </w:r>
          </w:p>
          <w:p w14:paraId="6447DB30" w14:textId="55771DA5" w:rsidR="00377FC3" w:rsidRDefault="0007574A" w:rsidP="0007574A">
            <w:pPr>
              <w:rPr>
                <w:sz w:val="18"/>
                <w:szCs w:val="18"/>
              </w:rPr>
            </w:pPr>
            <w:r>
              <w:rPr>
                <w:sz w:val="18"/>
                <w:szCs w:val="18"/>
              </w:rPr>
              <w:t>2</w:t>
            </w:r>
            <w:r w:rsidR="00377FC3">
              <w:rPr>
                <w:sz w:val="18"/>
                <w:szCs w:val="18"/>
              </w:rPr>
              <w:t xml:space="preserve">-E-3. </w:t>
            </w:r>
          </w:p>
          <w:p w14:paraId="007D41F1" w14:textId="33B0B148" w:rsidR="00377FC3" w:rsidRPr="006E1727" w:rsidRDefault="00377FC3" w:rsidP="00377FC3">
            <w:pPr>
              <w:rPr>
                <w:rFonts w:ascii="Calibri" w:eastAsia="Cambria" w:hAnsi="Calibri" w:cs="Times New Roman"/>
              </w:rPr>
            </w:pPr>
            <w:r>
              <w:rPr>
                <w:sz w:val="18"/>
                <w:szCs w:val="18"/>
              </w:rPr>
              <w:t>Student Talk</w:t>
            </w:r>
          </w:p>
        </w:tc>
      </w:tr>
    </w:tbl>
    <w:p w14:paraId="167DC4B3" w14:textId="77777777" w:rsidR="005D6DFD" w:rsidRPr="006E1727" w:rsidRDefault="005D6DFD" w:rsidP="005D6DFD"/>
    <w:p w14:paraId="71EFC9B6" w14:textId="77777777" w:rsidR="005D6DFD" w:rsidRDefault="005D6DFD" w:rsidP="005D6DFD">
      <w:pPr>
        <w:spacing w:after="120"/>
      </w:pPr>
      <w:r w:rsidRPr="00BF726A">
        <w:rPr>
          <w:b/>
        </w:rPr>
        <w:t>Implementation Plan</w:t>
      </w:r>
      <w:r>
        <w:t xml:space="preserve">: In support of attaining the goal(s), the candidate, Program Supervisor and Supervising Practitioner agree on the following actions </w:t>
      </w:r>
      <w:r>
        <w:rPr>
          <w:i/>
        </w:rPr>
        <w:t>(add more rows as needed)</w:t>
      </w:r>
      <w:r>
        <w:t>:</w:t>
      </w:r>
    </w:p>
    <w:tbl>
      <w:tblPr>
        <w:tblStyle w:val="TableGrid"/>
        <w:tblW w:w="0" w:type="auto"/>
        <w:tblLook w:val="04A0" w:firstRow="1" w:lastRow="0" w:firstColumn="1" w:lastColumn="0" w:noHBand="0" w:noVBand="1"/>
      </w:tblPr>
      <w:tblGrid>
        <w:gridCol w:w="3560"/>
        <w:gridCol w:w="3779"/>
        <w:gridCol w:w="2237"/>
      </w:tblGrid>
      <w:tr w:rsidR="005D6DFD" w:rsidRPr="00BF4FCB" w14:paraId="7186AACF" w14:textId="77777777" w:rsidTr="0051652C">
        <w:trPr>
          <w:trHeight w:val="295"/>
        </w:trPr>
        <w:tc>
          <w:tcPr>
            <w:tcW w:w="3897" w:type="dxa"/>
            <w:shd w:val="clear" w:color="auto" w:fill="FBD4B4" w:themeFill="accent6" w:themeFillTint="66"/>
          </w:tcPr>
          <w:p w14:paraId="171A3E49" w14:textId="77777777" w:rsidR="005D6DFD" w:rsidRPr="00BF4FCB" w:rsidRDefault="005D6DFD" w:rsidP="0051652C">
            <w:pPr>
              <w:rPr>
                <w:rFonts w:asciiTheme="minorHAnsi" w:hAnsiTheme="minorHAnsi"/>
                <w:szCs w:val="24"/>
              </w:rPr>
            </w:pPr>
            <w:r w:rsidRPr="00BF4FCB">
              <w:rPr>
                <w:rFonts w:asciiTheme="minorHAnsi" w:hAnsiTheme="minorHAnsi"/>
                <w:szCs w:val="24"/>
              </w:rPr>
              <w:t>Action</w:t>
            </w:r>
          </w:p>
        </w:tc>
        <w:tc>
          <w:tcPr>
            <w:tcW w:w="4059" w:type="dxa"/>
            <w:shd w:val="clear" w:color="auto" w:fill="FBD4B4" w:themeFill="accent6" w:themeFillTint="66"/>
          </w:tcPr>
          <w:p w14:paraId="64D43109" w14:textId="77777777" w:rsidR="005D6DFD" w:rsidRPr="00BF4FCB" w:rsidRDefault="005D6DFD" w:rsidP="0051652C">
            <w:pPr>
              <w:rPr>
                <w:rFonts w:asciiTheme="minorHAnsi" w:hAnsiTheme="minorHAnsi"/>
                <w:szCs w:val="24"/>
              </w:rPr>
            </w:pPr>
            <w:r>
              <w:rPr>
                <w:rFonts w:asciiTheme="minorHAnsi" w:hAnsiTheme="minorHAnsi"/>
                <w:szCs w:val="24"/>
              </w:rPr>
              <w:t xml:space="preserve">Supports/Resources from </w:t>
            </w:r>
          </w:p>
        </w:tc>
        <w:tc>
          <w:tcPr>
            <w:tcW w:w="2249" w:type="dxa"/>
            <w:shd w:val="clear" w:color="auto" w:fill="FBD4B4" w:themeFill="accent6" w:themeFillTint="66"/>
          </w:tcPr>
          <w:p w14:paraId="3B6A2127" w14:textId="77777777" w:rsidR="005D6DFD" w:rsidRPr="00BF4FCB" w:rsidRDefault="005D6DFD" w:rsidP="0051652C">
            <w:pPr>
              <w:rPr>
                <w:rFonts w:asciiTheme="minorHAnsi" w:hAnsiTheme="minorHAnsi"/>
                <w:szCs w:val="24"/>
              </w:rPr>
            </w:pPr>
            <w:r>
              <w:rPr>
                <w:rFonts w:asciiTheme="minorHAnsi" w:hAnsiTheme="minorHAnsi"/>
                <w:szCs w:val="24"/>
              </w:rPr>
              <w:t>Timeline/Frequency</w:t>
            </w:r>
          </w:p>
        </w:tc>
      </w:tr>
      <w:tr w:rsidR="005D6DFD" w:rsidRPr="00BF4FCB" w14:paraId="7A50B472" w14:textId="77777777" w:rsidTr="0051652C">
        <w:trPr>
          <w:trHeight w:val="795"/>
        </w:trPr>
        <w:tc>
          <w:tcPr>
            <w:tcW w:w="3897" w:type="dxa"/>
          </w:tcPr>
          <w:p w14:paraId="5653B8A4" w14:textId="21545D65" w:rsidR="005D6DFD" w:rsidRPr="00BF4FCB" w:rsidRDefault="00113B7C" w:rsidP="0051652C">
            <w:pPr>
              <w:rPr>
                <w:rFonts w:asciiTheme="minorHAnsi" w:hAnsiTheme="minorHAnsi"/>
                <w:szCs w:val="24"/>
              </w:rPr>
            </w:pPr>
            <w:r>
              <w:rPr>
                <w:rFonts w:asciiTheme="minorHAnsi" w:hAnsiTheme="minorHAnsi"/>
                <w:szCs w:val="24"/>
              </w:rPr>
              <w:t>Reviewing student work during and after class</w:t>
            </w:r>
          </w:p>
        </w:tc>
        <w:tc>
          <w:tcPr>
            <w:tcW w:w="4059" w:type="dxa"/>
          </w:tcPr>
          <w:p w14:paraId="64DF45B7" w14:textId="20236E6B" w:rsidR="005D6DFD" w:rsidRPr="00BF4FCB" w:rsidRDefault="00595126" w:rsidP="0051652C">
            <w:pPr>
              <w:rPr>
                <w:rFonts w:asciiTheme="minorHAnsi" w:hAnsiTheme="minorHAnsi"/>
                <w:szCs w:val="24"/>
              </w:rPr>
            </w:pPr>
            <w:r>
              <w:rPr>
                <w:rFonts w:asciiTheme="minorHAnsi" w:hAnsiTheme="minorHAnsi"/>
                <w:szCs w:val="24"/>
              </w:rPr>
              <w:t>Supervising Practitioner</w:t>
            </w:r>
          </w:p>
        </w:tc>
        <w:tc>
          <w:tcPr>
            <w:tcW w:w="2249" w:type="dxa"/>
          </w:tcPr>
          <w:p w14:paraId="64826B06" w14:textId="54CA269F" w:rsidR="005D6DFD" w:rsidRPr="00BF4FCB" w:rsidRDefault="009F6D71" w:rsidP="0051652C">
            <w:pPr>
              <w:rPr>
                <w:rFonts w:asciiTheme="minorHAnsi" w:hAnsiTheme="minorHAnsi"/>
                <w:szCs w:val="24"/>
              </w:rPr>
            </w:pPr>
            <w:r>
              <w:rPr>
                <w:rFonts w:asciiTheme="minorHAnsi" w:hAnsiTheme="minorHAnsi"/>
                <w:szCs w:val="24"/>
              </w:rPr>
              <w:t>Each class</w:t>
            </w:r>
          </w:p>
        </w:tc>
      </w:tr>
      <w:tr w:rsidR="005D6DFD" w:rsidRPr="00BF4FCB" w14:paraId="2EF1C050" w14:textId="77777777" w:rsidTr="0051652C">
        <w:trPr>
          <w:trHeight w:val="795"/>
        </w:trPr>
        <w:tc>
          <w:tcPr>
            <w:tcW w:w="3897" w:type="dxa"/>
          </w:tcPr>
          <w:p w14:paraId="05276F81" w14:textId="363A400A" w:rsidR="005D6DFD" w:rsidRPr="00BF4FCB" w:rsidRDefault="00113B7C" w:rsidP="0051652C">
            <w:pPr>
              <w:rPr>
                <w:rFonts w:asciiTheme="minorHAnsi" w:hAnsiTheme="minorHAnsi"/>
                <w:szCs w:val="24"/>
              </w:rPr>
            </w:pPr>
            <w:r>
              <w:rPr>
                <w:rFonts w:asciiTheme="minorHAnsi" w:hAnsiTheme="minorHAnsi"/>
                <w:szCs w:val="24"/>
              </w:rPr>
              <w:t>Planning checks for understanding</w:t>
            </w:r>
            <w:r w:rsidR="009F6D71">
              <w:rPr>
                <w:rFonts w:asciiTheme="minorHAnsi" w:hAnsiTheme="minorHAnsi"/>
                <w:szCs w:val="24"/>
              </w:rPr>
              <w:t xml:space="preserve"> into each</w:t>
            </w:r>
            <w:r>
              <w:rPr>
                <w:rFonts w:asciiTheme="minorHAnsi" w:hAnsiTheme="minorHAnsi"/>
                <w:szCs w:val="24"/>
              </w:rPr>
              <w:t xml:space="preserve"> lesson plan</w:t>
            </w:r>
          </w:p>
        </w:tc>
        <w:tc>
          <w:tcPr>
            <w:tcW w:w="4059" w:type="dxa"/>
          </w:tcPr>
          <w:p w14:paraId="54ED6587" w14:textId="15FA9552" w:rsidR="005D6DFD" w:rsidRPr="00BF4FCB" w:rsidRDefault="00FE690D" w:rsidP="0051652C">
            <w:pPr>
              <w:rPr>
                <w:rFonts w:asciiTheme="minorHAnsi" w:hAnsiTheme="minorHAnsi"/>
                <w:szCs w:val="24"/>
              </w:rPr>
            </w:pPr>
            <w:r>
              <w:rPr>
                <w:rFonts w:asciiTheme="minorHAnsi" w:hAnsiTheme="minorHAnsi"/>
                <w:szCs w:val="24"/>
              </w:rPr>
              <w:t>Class notes/experiences from Grad Classes</w:t>
            </w:r>
          </w:p>
        </w:tc>
        <w:tc>
          <w:tcPr>
            <w:tcW w:w="2249" w:type="dxa"/>
          </w:tcPr>
          <w:p w14:paraId="325CD8B1" w14:textId="6A388677" w:rsidR="005D6DFD" w:rsidRPr="00BF4FCB" w:rsidRDefault="009F6D71" w:rsidP="0051652C">
            <w:pPr>
              <w:rPr>
                <w:rFonts w:asciiTheme="minorHAnsi" w:hAnsiTheme="minorHAnsi"/>
                <w:szCs w:val="24"/>
              </w:rPr>
            </w:pPr>
            <w:r>
              <w:rPr>
                <w:rFonts w:asciiTheme="minorHAnsi" w:hAnsiTheme="minorHAnsi"/>
                <w:szCs w:val="24"/>
              </w:rPr>
              <w:t>Planning for each class</w:t>
            </w:r>
          </w:p>
        </w:tc>
      </w:tr>
      <w:tr w:rsidR="005D6DFD" w:rsidRPr="00BF4FCB" w14:paraId="7C70B8BF" w14:textId="77777777" w:rsidTr="0051652C">
        <w:trPr>
          <w:trHeight w:val="795"/>
        </w:trPr>
        <w:tc>
          <w:tcPr>
            <w:tcW w:w="3897" w:type="dxa"/>
          </w:tcPr>
          <w:p w14:paraId="0B6B97E1" w14:textId="64D83084" w:rsidR="005D6DFD" w:rsidRPr="00BF4FCB" w:rsidRDefault="009F6D71" w:rsidP="0051652C">
            <w:pPr>
              <w:rPr>
                <w:rFonts w:asciiTheme="minorHAnsi" w:hAnsiTheme="minorHAnsi"/>
                <w:szCs w:val="24"/>
              </w:rPr>
            </w:pPr>
            <w:r>
              <w:rPr>
                <w:rFonts w:asciiTheme="minorHAnsi" w:hAnsiTheme="minorHAnsi"/>
                <w:szCs w:val="24"/>
              </w:rPr>
              <w:t>Trying out various</w:t>
            </w:r>
            <w:r w:rsidR="00113B7C">
              <w:rPr>
                <w:rFonts w:asciiTheme="minorHAnsi" w:hAnsiTheme="minorHAnsi"/>
                <w:szCs w:val="24"/>
              </w:rPr>
              <w:t xml:space="preserve"> student discussion techniques and formats</w:t>
            </w:r>
          </w:p>
        </w:tc>
        <w:tc>
          <w:tcPr>
            <w:tcW w:w="4059" w:type="dxa"/>
          </w:tcPr>
          <w:p w14:paraId="39AE4BE9" w14:textId="5408296E" w:rsidR="005D6DFD" w:rsidRPr="00BF4FCB" w:rsidRDefault="00FE690D" w:rsidP="0051652C">
            <w:pPr>
              <w:rPr>
                <w:rFonts w:asciiTheme="minorHAnsi" w:hAnsiTheme="minorHAnsi"/>
                <w:szCs w:val="24"/>
              </w:rPr>
            </w:pPr>
            <w:r>
              <w:rPr>
                <w:rFonts w:asciiTheme="minorHAnsi" w:hAnsiTheme="minorHAnsi"/>
                <w:szCs w:val="24"/>
              </w:rPr>
              <w:t>Class notes/experiences from Grad Classes</w:t>
            </w:r>
          </w:p>
        </w:tc>
        <w:tc>
          <w:tcPr>
            <w:tcW w:w="2249" w:type="dxa"/>
          </w:tcPr>
          <w:p w14:paraId="6EA2F3D2" w14:textId="18A2E770" w:rsidR="005D6DFD" w:rsidRPr="00BF4FCB" w:rsidRDefault="00FA3F4E" w:rsidP="0051652C">
            <w:pPr>
              <w:rPr>
                <w:rFonts w:asciiTheme="minorHAnsi" w:hAnsiTheme="minorHAnsi"/>
                <w:szCs w:val="24"/>
              </w:rPr>
            </w:pPr>
            <w:r>
              <w:rPr>
                <w:rFonts w:asciiTheme="minorHAnsi" w:hAnsiTheme="minorHAnsi"/>
                <w:szCs w:val="24"/>
              </w:rPr>
              <w:t>Planning for each class</w:t>
            </w:r>
          </w:p>
        </w:tc>
      </w:tr>
      <w:tr w:rsidR="005D6DFD" w:rsidRPr="00BF4FCB" w14:paraId="31335973" w14:textId="77777777" w:rsidTr="0051652C">
        <w:trPr>
          <w:trHeight w:val="828"/>
        </w:trPr>
        <w:tc>
          <w:tcPr>
            <w:tcW w:w="3897" w:type="dxa"/>
          </w:tcPr>
          <w:p w14:paraId="0B6C622A" w14:textId="485B0B05" w:rsidR="005D6DFD" w:rsidRPr="00BF4FCB" w:rsidRDefault="00113B7C" w:rsidP="0051652C">
            <w:pPr>
              <w:rPr>
                <w:rFonts w:asciiTheme="minorHAnsi" w:hAnsiTheme="minorHAnsi"/>
                <w:szCs w:val="24"/>
              </w:rPr>
            </w:pPr>
            <w:r>
              <w:rPr>
                <w:rFonts w:asciiTheme="minorHAnsi" w:hAnsiTheme="minorHAnsi"/>
                <w:szCs w:val="24"/>
              </w:rPr>
              <w:t>Work to make adjustments to lesson plan between classes in response to observed student understanding</w:t>
            </w:r>
          </w:p>
        </w:tc>
        <w:tc>
          <w:tcPr>
            <w:tcW w:w="4059" w:type="dxa"/>
          </w:tcPr>
          <w:p w14:paraId="57FE9297" w14:textId="362CA43E" w:rsidR="005D6DFD" w:rsidRPr="00BF4FCB" w:rsidRDefault="00FA3F4E" w:rsidP="0051652C">
            <w:pPr>
              <w:rPr>
                <w:rFonts w:asciiTheme="minorHAnsi" w:hAnsiTheme="minorHAnsi"/>
                <w:szCs w:val="24"/>
              </w:rPr>
            </w:pPr>
            <w:r>
              <w:rPr>
                <w:rFonts w:asciiTheme="minorHAnsi" w:hAnsiTheme="minorHAnsi"/>
                <w:szCs w:val="24"/>
              </w:rPr>
              <w:t>Supervising Practi</w:t>
            </w:r>
            <w:r w:rsidR="00FE690D">
              <w:rPr>
                <w:rFonts w:asciiTheme="minorHAnsi" w:hAnsiTheme="minorHAnsi"/>
                <w:szCs w:val="24"/>
              </w:rPr>
              <w:t>ti</w:t>
            </w:r>
            <w:r>
              <w:rPr>
                <w:rFonts w:asciiTheme="minorHAnsi" w:hAnsiTheme="minorHAnsi"/>
                <w:szCs w:val="24"/>
              </w:rPr>
              <w:t>oner</w:t>
            </w:r>
          </w:p>
        </w:tc>
        <w:tc>
          <w:tcPr>
            <w:tcW w:w="2249" w:type="dxa"/>
          </w:tcPr>
          <w:p w14:paraId="5C4A8092" w14:textId="3C958523" w:rsidR="005D6DFD" w:rsidRPr="00BF4FCB" w:rsidRDefault="00FA3F4E" w:rsidP="0051652C">
            <w:pPr>
              <w:rPr>
                <w:rFonts w:asciiTheme="minorHAnsi" w:hAnsiTheme="minorHAnsi"/>
                <w:szCs w:val="24"/>
              </w:rPr>
            </w:pPr>
            <w:r>
              <w:rPr>
                <w:rFonts w:asciiTheme="minorHAnsi" w:hAnsiTheme="minorHAnsi"/>
                <w:szCs w:val="24"/>
              </w:rPr>
              <w:t>Between classes each day</w:t>
            </w:r>
          </w:p>
        </w:tc>
      </w:tr>
    </w:tbl>
    <w:p w14:paraId="19FB66A6" w14:textId="77777777" w:rsidR="005D6DFD" w:rsidRDefault="005D6DFD" w:rsidP="005D6DFD"/>
    <w:p w14:paraId="5C9DA7EC" w14:textId="77777777" w:rsidR="005D6DFD" w:rsidRDefault="005D6DFD" w:rsidP="005D6DFD">
      <w:pPr>
        <w:spacing w:after="240"/>
      </w:pPr>
      <w:r w:rsidRPr="00AB6331">
        <w:rPr>
          <w:b/>
        </w:rPr>
        <w:t>Measure of Student Learning</w:t>
      </w:r>
      <w:r>
        <w:t xml:space="preserve">: In addition to attaining the professional practice goal, the candidate will also be assessed based in part on their impact on student learning. The Supervising Practitioner, in coordination with the Program Supervisor, has set the following measures of student learning. </w:t>
      </w:r>
    </w:p>
    <w:tbl>
      <w:tblPr>
        <w:tblStyle w:val="TableGrid"/>
        <w:tblW w:w="0" w:type="auto"/>
        <w:tblLook w:val="04A0" w:firstRow="1" w:lastRow="0" w:firstColumn="1" w:lastColumn="0" w:noHBand="0" w:noVBand="1"/>
      </w:tblPr>
      <w:tblGrid>
        <w:gridCol w:w="3280"/>
        <w:gridCol w:w="2050"/>
        <w:gridCol w:w="4246"/>
      </w:tblGrid>
      <w:tr w:rsidR="00DF48E6" w:rsidRPr="00AB6331" w14:paraId="25A1D73D" w14:textId="77777777" w:rsidTr="0051652C">
        <w:tc>
          <w:tcPr>
            <w:tcW w:w="3528" w:type="dxa"/>
            <w:shd w:val="clear" w:color="auto" w:fill="DBE5F1" w:themeFill="accent1" w:themeFillTint="33"/>
          </w:tcPr>
          <w:p w14:paraId="273FFCBA" w14:textId="77777777" w:rsidR="005D6DFD" w:rsidRPr="00AB6331" w:rsidRDefault="005D6DFD" w:rsidP="0051652C">
            <w:pPr>
              <w:rPr>
                <w:rFonts w:asciiTheme="minorHAnsi" w:hAnsiTheme="minorHAnsi"/>
              </w:rPr>
            </w:pPr>
            <w:r w:rsidRPr="00AB6331">
              <w:rPr>
                <w:rFonts w:asciiTheme="minorHAnsi" w:hAnsiTheme="minorHAnsi"/>
              </w:rPr>
              <w:t>Measure of Student Learning</w:t>
            </w:r>
          </w:p>
        </w:tc>
        <w:tc>
          <w:tcPr>
            <w:tcW w:w="2160" w:type="dxa"/>
            <w:shd w:val="clear" w:color="auto" w:fill="DBE5F1" w:themeFill="accent1" w:themeFillTint="33"/>
          </w:tcPr>
          <w:p w14:paraId="5CCF25F0" w14:textId="77777777" w:rsidR="005D6DFD" w:rsidRPr="00AB6331" w:rsidRDefault="005D6DFD" w:rsidP="0051652C">
            <w:pPr>
              <w:rPr>
                <w:rFonts w:asciiTheme="minorHAnsi" w:hAnsiTheme="minorHAnsi"/>
              </w:rPr>
            </w:pPr>
            <w:r w:rsidRPr="00AB6331">
              <w:rPr>
                <w:rFonts w:asciiTheme="minorHAnsi" w:hAnsiTheme="minorHAnsi"/>
              </w:rPr>
              <w:t>Impact Rating</w:t>
            </w:r>
          </w:p>
        </w:tc>
        <w:tc>
          <w:tcPr>
            <w:tcW w:w="4608" w:type="dxa"/>
            <w:shd w:val="clear" w:color="auto" w:fill="DBE5F1" w:themeFill="accent1" w:themeFillTint="33"/>
          </w:tcPr>
          <w:p w14:paraId="11EF5523" w14:textId="77777777" w:rsidR="005D6DFD" w:rsidRPr="00AB6331" w:rsidRDefault="005D6DFD" w:rsidP="0051652C">
            <w:pPr>
              <w:rPr>
                <w:rFonts w:asciiTheme="minorHAnsi" w:hAnsiTheme="minorHAnsi"/>
              </w:rPr>
            </w:pPr>
            <w:r>
              <w:rPr>
                <w:rFonts w:asciiTheme="minorHAnsi" w:hAnsiTheme="minorHAnsi"/>
              </w:rPr>
              <w:t>Parameters</w:t>
            </w:r>
          </w:p>
        </w:tc>
      </w:tr>
      <w:tr w:rsidR="005D6DFD" w:rsidRPr="00AB6331" w14:paraId="71F7DEA0" w14:textId="77777777" w:rsidTr="0051652C">
        <w:trPr>
          <w:trHeight w:val="594"/>
        </w:trPr>
        <w:tc>
          <w:tcPr>
            <w:tcW w:w="3528" w:type="dxa"/>
            <w:vMerge w:val="restart"/>
          </w:tcPr>
          <w:p w14:paraId="4CCB097D" w14:textId="1C8DDFC4" w:rsidR="005D6DFD" w:rsidRPr="00AB6331" w:rsidRDefault="00377FC3" w:rsidP="0051652C">
            <w:pPr>
              <w:rPr>
                <w:rFonts w:asciiTheme="minorHAnsi" w:hAnsiTheme="minorHAnsi"/>
              </w:rPr>
            </w:pPr>
            <w:r>
              <w:rPr>
                <w:rFonts w:asciiTheme="minorHAnsi" w:hAnsiTheme="minorHAnsi"/>
              </w:rPr>
              <w:t>Current Event mini-unit summative assessment</w:t>
            </w:r>
          </w:p>
        </w:tc>
        <w:tc>
          <w:tcPr>
            <w:tcW w:w="2160" w:type="dxa"/>
          </w:tcPr>
          <w:p w14:paraId="2437E172" w14:textId="77777777" w:rsidR="005D6DFD" w:rsidRPr="00AB6331" w:rsidRDefault="005D6DFD" w:rsidP="0051652C">
            <w:pPr>
              <w:rPr>
                <w:rFonts w:asciiTheme="minorHAnsi" w:hAnsiTheme="minorHAnsi"/>
              </w:rPr>
            </w:pPr>
            <w:r w:rsidRPr="00AB6331">
              <w:rPr>
                <w:rFonts w:asciiTheme="minorHAnsi" w:hAnsiTheme="minorHAnsi"/>
              </w:rPr>
              <w:t>High</w:t>
            </w:r>
          </w:p>
        </w:tc>
        <w:tc>
          <w:tcPr>
            <w:tcW w:w="4608" w:type="dxa"/>
          </w:tcPr>
          <w:p w14:paraId="3EE489D0" w14:textId="55856A1B" w:rsidR="00792BF7" w:rsidRPr="00792BF7" w:rsidRDefault="00DF48E6" w:rsidP="00792BF7">
            <w:pPr>
              <w:widowControl/>
              <w:shd w:val="clear" w:color="auto" w:fill="FFFFFF"/>
              <w:rPr>
                <w:rFonts w:ascii="Helvetica Neue" w:hAnsi="Helvetica Neue"/>
                <w:color w:val="000000"/>
                <w:sz w:val="20"/>
              </w:rPr>
            </w:pPr>
            <w:r>
              <w:rPr>
                <w:rFonts w:ascii="Helvetica Neue" w:hAnsi="Helvetica Neue"/>
                <w:color w:val="000000"/>
                <w:sz w:val="20"/>
              </w:rPr>
              <w:t>A</w:t>
            </w:r>
            <w:r w:rsidR="00792BF7" w:rsidRPr="00792BF7">
              <w:rPr>
                <w:rFonts w:ascii="Helvetica Neue" w:hAnsi="Helvetica Neue"/>
                <w:color w:val="000000"/>
                <w:sz w:val="20"/>
              </w:rPr>
              <w:t>n ability to demonstrate knowledge gained from multiple sources on a current event (the event has not been decided yet), to present and argue for an opinion in a convincing way, and to demonstrate an understanding of and an ability to utilize forms of persuasive political media (op-</w:t>
            </w:r>
            <w:r w:rsidR="00792BF7" w:rsidRPr="00792BF7">
              <w:rPr>
                <w:rFonts w:ascii="Helvetica Neue" w:hAnsi="Helvetica Neue"/>
                <w:color w:val="000000"/>
                <w:sz w:val="20"/>
              </w:rPr>
              <w:lastRenderedPageBreak/>
              <w:t>eds and political cartoons).</w:t>
            </w:r>
          </w:p>
          <w:p w14:paraId="6087D6C3" w14:textId="77777777" w:rsidR="00792BF7" w:rsidRPr="00792BF7" w:rsidRDefault="00792BF7" w:rsidP="00792BF7">
            <w:pPr>
              <w:widowControl/>
              <w:rPr>
                <w:szCs w:val="24"/>
              </w:rPr>
            </w:pPr>
          </w:p>
          <w:p w14:paraId="0ED08E83" w14:textId="77777777" w:rsidR="005D6DFD" w:rsidRPr="00AB6331" w:rsidRDefault="005D6DFD" w:rsidP="0051652C">
            <w:pPr>
              <w:rPr>
                <w:rFonts w:asciiTheme="minorHAnsi" w:hAnsiTheme="minorHAnsi"/>
              </w:rPr>
            </w:pPr>
          </w:p>
        </w:tc>
      </w:tr>
      <w:tr w:rsidR="005D6DFD" w:rsidRPr="00AB6331" w14:paraId="21A36753" w14:textId="77777777" w:rsidTr="0051652C">
        <w:trPr>
          <w:trHeight w:val="594"/>
        </w:trPr>
        <w:tc>
          <w:tcPr>
            <w:tcW w:w="3528" w:type="dxa"/>
            <w:vMerge/>
          </w:tcPr>
          <w:p w14:paraId="4D249251" w14:textId="77777777" w:rsidR="005D6DFD" w:rsidRPr="00AB6331" w:rsidRDefault="005D6DFD" w:rsidP="0051652C">
            <w:pPr>
              <w:rPr>
                <w:rFonts w:asciiTheme="minorHAnsi" w:hAnsiTheme="minorHAnsi"/>
              </w:rPr>
            </w:pPr>
          </w:p>
        </w:tc>
        <w:tc>
          <w:tcPr>
            <w:tcW w:w="2160" w:type="dxa"/>
          </w:tcPr>
          <w:p w14:paraId="0F0E0060" w14:textId="77777777" w:rsidR="005D6DFD" w:rsidRPr="00AB6331" w:rsidRDefault="005D6DFD" w:rsidP="0051652C">
            <w:pPr>
              <w:rPr>
                <w:rFonts w:asciiTheme="minorHAnsi" w:hAnsiTheme="minorHAnsi"/>
              </w:rPr>
            </w:pPr>
            <w:r w:rsidRPr="00AB6331">
              <w:rPr>
                <w:rFonts w:asciiTheme="minorHAnsi" w:hAnsiTheme="minorHAnsi"/>
              </w:rPr>
              <w:t>Moderate</w:t>
            </w:r>
          </w:p>
        </w:tc>
        <w:tc>
          <w:tcPr>
            <w:tcW w:w="4608" w:type="dxa"/>
          </w:tcPr>
          <w:p w14:paraId="4427D64E" w14:textId="7D96852D" w:rsidR="00DF48E6" w:rsidRPr="00DF48E6" w:rsidRDefault="00DF48E6" w:rsidP="00DF48E6">
            <w:pPr>
              <w:widowControl/>
              <w:rPr>
                <w:szCs w:val="24"/>
              </w:rPr>
            </w:pPr>
            <w:r w:rsidRPr="00DF48E6">
              <w:rPr>
                <w:rFonts w:ascii="Helvetica Neue" w:hAnsi="Helvetica Neue"/>
                <w:color w:val="000000"/>
                <w:sz w:val="20"/>
                <w:shd w:val="clear" w:color="auto" w:fill="FFFFFF"/>
              </w:rPr>
              <w:t> </w:t>
            </w:r>
            <w:r>
              <w:rPr>
                <w:rFonts w:ascii="Helvetica Neue" w:hAnsi="Helvetica Neue"/>
                <w:color w:val="000000"/>
                <w:sz w:val="20"/>
                <w:shd w:val="clear" w:color="auto" w:fill="FFFFFF"/>
              </w:rPr>
              <w:t xml:space="preserve">An ability to </w:t>
            </w:r>
            <w:r w:rsidRPr="00DF48E6">
              <w:rPr>
                <w:rFonts w:ascii="Helvetica Neue" w:hAnsi="Helvetica Neue"/>
                <w:color w:val="000000"/>
                <w:sz w:val="20"/>
                <w:shd w:val="clear" w:color="auto" w:fill="FFFFFF"/>
              </w:rPr>
              <w:t>demonstrate some knowledge of the current event through reading multiple sources, to present and argue for an opinion but in a non-convincing or wishy-washy way, and demonstrate partial understanding and ability to utilize forms of political media (i.e. Not fully grasping conventions of form).</w:t>
            </w:r>
          </w:p>
          <w:p w14:paraId="27311946" w14:textId="77777777" w:rsidR="005D6DFD" w:rsidRPr="00AB6331" w:rsidRDefault="005D6DFD" w:rsidP="0051652C">
            <w:pPr>
              <w:rPr>
                <w:rFonts w:asciiTheme="minorHAnsi" w:hAnsiTheme="minorHAnsi"/>
              </w:rPr>
            </w:pPr>
          </w:p>
        </w:tc>
      </w:tr>
      <w:tr w:rsidR="005D6DFD" w:rsidRPr="00AB6331" w14:paraId="44F7EFAD" w14:textId="77777777" w:rsidTr="0051652C">
        <w:trPr>
          <w:trHeight w:val="594"/>
        </w:trPr>
        <w:tc>
          <w:tcPr>
            <w:tcW w:w="3528" w:type="dxa"/>
            <w:vMerge/>
          </w:tcPr>
          <w:p w14:paraId="14BFAD47" w14:textId="77777777" w:rsidR="005D6DFD" w:rsidRPr="00AB6331" w:rsidRDefault="005D6DFD" w:rsidP="0051652C">
            <w:pPr>
              <w:rPr>
                <w:rFonts w:asciiTheme="minorHAnsi" w:hAnsiTheme="minorHAnsi"/>
              </w:rPr>
            </w:pPr>
          </w:p>
        </w:tc>
        <w:tc>
          <w:tcPr>
            <w:tcW w:w="2160" w:type="dxa"/>
          </w:tcPr>
          <w:p w14:paraId="18673345" w14:textId="77777777" w:rsidR="005D6DFD" w:rsidRPr="00AB6331" w:rsidRDefault="005D6DFD" w:rsidP="0051652C">
            <w:pPr>
              <w:rPr>
                <w:rFonts w:asciiTheme="minorHAnsi" w:hAnsiTheme="minorHAnsi"/>
              </w:rPr>
            </w:pPr>
            <w:r w:rsidRPr="00AB6331">
              <w:rPr>
                <w:rFonts w:asciiTheme="minorHAnsi" w:hAnsiTheme="minorHAnsi"/>
              </w:rPr>
              <w:t>Low</w:t>
            </w:r>
          </w:p>
        </w:tc>
        <w:tc>
          <w:tcPr>
            <w:tcW w:w="4608" w:type="dxa"/>
          </w:tcPr>
          <w:p w14:paraId="5B2969CA" w14:textId="5ECC4EDC" w:rsidR="00DF48E6" w:rsidRPr="00DF48E6" w:rsidRDefault="00DF48E6" w:rsidP="00DF48E6">
            <w:pPr>
              <w:widowControl/>
              <w:rPr>
                <w:szCs w:val="24"/>
              </w:rPr>
            </w:pPr>
            <w:r w:rsidRPr="00DF48E6">
              <w:rPr>
                <w:rFonts w:ascii="Helvetica Neue" w:hAnsi="Helvetica Neue"/>
                <w:color w:val="000000"/>
                <w:sz w:val="20"/>
                <w:shd w:val="clear" w:color="auto" w:fill="FFFFFF"/>
              </w:rPr>
              <w:t> </w:t>
            </w:r>
            <w:r>
              <w:rPr>
                <w:rFonts w:ascii="Helvetica Neue" w:hAnsi="Helvetica Neue"/>
                <w:color w:val="000000"/>
                <w:sz w:val="20"/>
                <w:shd w:val="clear" w:color="auto" w:fill="FFFFFF"/>
              </w:rPr>
              <w:t xml:space="preserve">An ability to </w:t>
            </w:r>
            <w:r w:rsidRPr="00DF48E6">
              <w:rPr>
                <w:rFonts w:ascii="Helvetica Neue" w:hAnsi="Helvetica Neue"/>
                <w:color w:val="000000"/>
                <w:sz w:val="20"/>
                <w:shd w:val="clear" w:color="auto" w:fill="FFFFFF"/>
              </w:rPr>
              <w:t>demonstrate limited knowledge of the current event and might not cite/use the sources, would not present an opinion or would not make a case for it, and would demonstrate a lack of full understanding of how to utilize these forms of political media (i.e. Pieces would not meet the conventions of form, or only possess few).</w:t>
            </w:r>
          </w:p>
          <w:p w14:paraId="4A269391" w14:textId="77777777" w:rsidR="005D6DFD" w:rsidRPr="00AB6331" w:rsidRDefault="005D6DFD" w:rsidP="0051652C">
            <w:pPr>
              <w:rPr>
                <w:rFonts w:asciiTheme="minorHAnsi" w:hAnsiTheme="minorHAnsi"/>
              </w:rPr>
            </w:pPr>
          </w:p>
        </w:tc>
      </w:tr>
    </w:tbl>
    <w:p w14:paraId="76B29D0E" w14:textId="77777777" w:rsidR="001013FB" w:rsidRDefault="001013FB"/>
    <w:sectPr w:rsidR="001013FB" w:rsidSect="005D6DFD">
      <w:headerReference w:type="default" r:id="rId10"/>
      <w:footerReference w:type="default" r:id="rId11"/>
      <w:pgSz w:w="12240" w:h="15840"/>
      <w:pgMar w:top="90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E3FDD2" w14:textId="77777777" w:rsidR="00163F7A" w:rsidRDefault="00163F7A" w:rsidP="00025545">
      <w:r>
        <w:separator/>
      </w:r>
    </w:p>
  </w:endnote>
  <w:endnote w:type="continuationSeparator" w:id="0">
    <w:p w14:paraId="03DE3AD4" w14:textId="77777777" w:rsidR="00163F7A" w:rsidRDefault="00163F7A" w:rsidP="00025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DaunPenh">
    <w:altName w:val="Leelawadee UI Semilight"/>
    <w:charset w:val="00"/>
    <w:family w:val="auto"/>
    <w:pitch w:val="variable"/>
    <w:sig w:usb0="00000003" w:usb1="00000000" w:usb2="0001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oolBoran">
    <w:altName w:val="Leelawadee UI"/>
    <w:charset w:val="00"/>
    <w:family w:val="swiss"/>
    <w:pitch w:val="variable"/>
    <w:sig w:usb0="00000003" w:usb1="0000204A" w:usb2="0001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Neue">
    <w:altName w:val="Corbel"/>
    <w:charset w:val="00"/>
    <w:family w:val="auto"/>
    <w:pitch w:val="variable"/>
    <w:sig w:usb0="00000003"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E038BF" w14:textId="06EAB7D1" w:rsidR="00A2382B" w:rsidRPr="00AE248B" w:rsidRDefault="005D6DFD" w:rsidP="00827927">
    <w:pPr>
      <w:pStyle w:val="Footer"/>
      <w:jc w:val="right"/>
      <w:rPr>
        <w:sz w:val="22"/>
      </w:rPr>
    </w:pPr>
    <w:r>
      <w:rPr>
        <w:noProof/>
      </w:rPr>
      <w:drawing>
        <wp:anchor distT="0" distB="0" distL="114300" distR="114300" simplePos="0" relativeHeight="251659264" behindDoc="0" locked="0" layoutInCell="1" allowOverlap="1" wp14:anchorId="45C56DE6" wp14:editId="4215F675">
          <wp:simplePos x="0" y="0"/>
          <wp:positionH relativeFrom="column">
            <wp:posOffset>-176530</wp:posOffset>
          </wp:positionH>
          <wp:positionV relativeFrom="paragraph">
            <wp:posOffset>-292100</wp:posOffset>
          </wp:positionV>
          <wp:extent cx="1657350" cy="669925"/>
          <wp:effectExtent l="0" t="0" r="0" b="0"/>
          <wp:wrapNone/>
          <wp:docPr id="54" name="Picture 54" descr="ESE St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SE logo.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7350" cy="669925"/>
                  </a:xfrm>
                  <a:prstGeom prst="rect">
                    <a:avLst/>
                  </a:prstGeom>
                </pic:spPr>
              </pic:pic>
            </a:graphicData>
          </a:graphic>
        </wp:anchor>
      </w:drawing>
    </w:r>
    <w:r w:rsidRPr="00C4128C">
      <w:rPr>
        <w:sz w:val="22"/>
      </w:rPr>
      <w:t xml:space="preserve">Candidate Assessment of Performance </w:t>
    </w:r>
    <w:r>
      <w:rPr>
        <w:sz w:val="22"/>
      </w:rPr>
      <w:t xml:space="preserve">                                                  </w:t>
    </w:r>
    <w:r w:rsidR="00370FAC" w:rsidRPr="00C4128C">
      <w:rPr>
        <w:sz w:val="22"/>
      </w:rPr>
      <w:fldChar w:fldCharType="begin"/>
    </w:r>
    <w:r w:rsidRPr="00C4128C">
      <w:rPr>
        <w:sz w:val="22"/>
      </w:rPr>
      <w:instrText xml:space="preserve"> PAGE   \* MERGEFORMAT </w:instrText>
    </w:r>
    <w:r w:rsidR="00370FAC" w:rsidRPr="00C4128C">
      <w:rPr>
        <w:sz w:val="22"/>
      </w:rPr>
      <w:fldChar w:fldCharType="separate"/>
    </w:r>
    <w:r w:rsidR="00003579">
      <w:rPr>
        <w:noProof/>
        <w:sz w:val="22"/>
      </w:rPr>
      <w:t>1</w:t>
    </w:r>
    <w:r w:rsidR="00370FAC" w:rsidRPr="00C4128C">
      <w:rPr>
        <w:sz w:val="22"/>
      </w:rPr>
      <w:fldChar w:fldCharType="end"/>
    </w:r>
  </w:p>
  <w:p w14:paraId="0DEDBE0C" w14:textId="77777777" w:rsidR="00A2382B" w:rsidRPr="00827927" w:rsidRDefault="00163F7A" w:rsidP="008279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51F9F4" w14:textId="77777777" w:rsidR="00163F7A" w:rsidRDefault="00163F7A" w:rsidP="00025545">
      <w:r>
        <w:separator/>
      </w:r>
    </w:p>
  </w:footnote>
  <w:footnote w:type="continuationSeparator" w:id="0">
    <w:p w14:paraId="3C47C941" w14:textId="77777777" w:rsidR="00163F7A" w:rsidRDefault="00163F7A" w:rsidP="000255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5500C2" w14:textId="77777777" w:rsidR="00A2382B" w:rsidRPr="00814DA6" w:rsidRDefault="00163F7A" w:rsidP="00814DA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DFD"/>
    <w:rsid w:val="00003579"/>
    <w:rsid w:val="00025545"/>
    <w:rsid w:val="00070853"/>
    <w:rsid w:val="0007574A"/>
    <w:rsid w:val="0009504B"/>
    <w:rsid w:val="001013FB"/>
    <w:rsid w:val="00113B7C"/>
    <w:rsid w:val="0015439E"/>
    <w:rsid w:val="00163F7A"/>
    <w:rsid w:val="0030252B"/>
    <w:rsid w:val="0034501B"/>
    <w:rsid w:val="00370FAC"/>
    <w:rsid w:val="00377FC3"/>
    <w:rsid w:val="003E63FF"/>
    <w:rsid w:val="003F723B"/>
    <w:rsid w:val="004E19A4"/>
    <w:rsid w:val="00530793"/>
    <w:rsid w:val="00595126"/>
    <w:rsid w:val="005D6DFD"/>
    <w:rsid w:val="007657AC"/>
    <w:rsid w:val="00782926"/>
    <w:rsid w:val="00792BF7"/>
    <w:rsid w:val="007A4619"/>
    <w:rsid w:val="008B4773"/>
    <w:rsid w:val="009134E2"/>
    <w:rsid w:val="009F6D71"/>
    <w:rsid w:val="00A23D1D"/>
    <w:rsid w:val="00B558E6"/>
    <w:rsid w:val="00B7049A"/>
    <w:rsid w:val="00C56A70"/>
    <w:rsid w:val="00CD57E6"/>
    <w:rsid w:val="00D571BE"/>
    <w:rsid w:val="00D906A7"/>
    <w:rsid w:val="00DF48E6"/>
    <w:rsid w:val="00FA3F4E"/>
    <w:rsid w:val="00FE690D"/>
  </w:rsids>
  <m:mathPr>
    <m:mathFont m:val="Cambria Math"/>
    <m:brkBin m:val="before"/>
    <m:brkBinSub m:val="--"/>
    <m:smallFrac m:val="0"/>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B9BF93"/>
  <w15:docId w15:val="{50805A32-0210-4A10-A8BD-EEDDE2C86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6DFD"/>
    <w:pPr>
      <w:widowControl w:val="0"/>
      <w:spacing w:after="0" w:line="240" w:lineRule="auto"/>
    </w:pPr>
    <w:rPr>
      <w:sz w:val="24"/>
    </w:rPr>
  </w:style>
  <w:style w:type="paragraph" w:styleId="Heading1">
    <w:name w:val="heading 1"/>
    <w:basedOn w:val="Normal"/>
    <w:next w:val="Normal"/>
    <w:link w:val="Heading1Char"/>
    <w:uiPriority w:val="9"/>
    <w:qFormat/>
    <w:rsid w:val="005D6DFD"/>
    <w:pPr>
      <w:keepNext/>
      <w:keepLines/>
      <w:pBdr>
        <w:bottom w:val="single" w:sz="4" w:space="1" w:color="1F497D" w:themeColor="text2"/>
      </w:pBdr>
      <w:spacing w:before="480" w:after="240"/>
      <w:outlineLvl w:val="0"/>
    </w:pPr>
    <w:rPr>
      <w:rFonts w:ascii="Calibri" w:eastAsiaTheme="majorEastAsia" w:hAnsi="Calibri" w:cstheme="majorBidi"/>
      <w:b/>
      <w:bCs/>
      <w:color w:val="365F91" w:themeColor="accent1" w:themeShade="BF"/>
      <w:sz w:val="28"/>
      <w:szCs w:val="28"/>
    </w:rPr>
  </w:style>
  <w:style w:type="paragraph" w:styleId="Heading5">
    <w:name w:val="heading 5"/>
    <w:basedOn w:val="Normal"/>
    <w:next w:val="Normal"/>
    <w:link w:val="Heading5Char"/>
    <w:uiPriority w:val="9"/>
    <w:unhideWhenUsed/>
    <w:qFormat/>
    <w:rsid w:val="005D6DFD"/>
    <w:pPr>
      <w:keepNext/>
      <w:keepLines/>
      <w:spacing w:before="20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6DFD"/>
    <w:rPr>
      <w:rFonts w:ascii="Calibri" w:eastAsiaTheme="majorEastAsia" w:hAnsi="Calibri" w:cstheme="majorBidi"/>
      <w:b/>
      <w:bCs/>
      <w:color w:val="365F91" w:themeColor="accent1" w:themeShade="BF"/>
      <w:sz w:val="28"/>
      <w:szCs w:val="28"/>
    </w:rPr>
  </w:style>
  <w:style w:type="character" w:customStyle="1" w:styleId="Heading5Char">
    <w:name w:val="Heading 5 Char"/>
    <w:basedOn w:val="DefaultParagraphFont"/>
    <w:link w:val="Heading5"/>
    <w:uiPriority w:val="9"/>
    <w:rsid w:val="005D6DFD"/>
    <w:rPr>
      <w:rFonts w:eastAsiaTheme="majorEastAsia" w:cstheme="majorBidi"/>
      <w:sz w:val="24"/>
    </w:rPr>
  </w:style>
  <w:style w:type="paragraph" w:styleId="Header">
    <w:name w:val="header"/>
    <w:basedOn w:val="Normal"/>
    <w:link w:val="HeaderChar"/>
    <w:uiPriority w:val="99"/>
    <w:unhideWhenUsed/>
    <w:rsid w:val="005D6DFD"/>
    <w:pPr>
      <w:tabs>
        <w:tab w:val="center" w:pos="4680"/>
        <w:tab w:val="right" w:pos="9360"/>
      </w:tabs>
    </w:pPr>
  </w:style>
  <w:style w:type="character" w:customStyle="1" w:styleId="HeaderChar">
    <w:name w:val="Header Char"/>
    <w:basedOn w:val="DefaultParagraphFont"/>
    <w:link w:val="Header"/>
    <w:uiPriority w:val="99"/>
    <w:rsid w:val="005D6DFD"/>
    <w:rPr>
      <w:sz w:val="24"/>
    </w:rPr>
  </w:style>
  <w:style w:type="paragraph" w:styleId="Footer">
    <w:name w:val="footer"/>
    <w:basedOn w:val="Normal"/>
    <w:link w:val="FooterChar"/>
    <w:uiPriority w:val="99"/>
    <w:unhideWhenUsed/>
    <w:rsid w:val="005D6DFD"/>
    <w:pPr>
      <w:tabs>
        <w:tab w:val="center" w:pos="4680"/>
        <w:tab w:val="right" w:pos="9360"/>
      </w:tabs>
    </w:pPr>
  </w:style>
  <w:style w:type="character" w:customStyle="1" w:styleId="FooterChar">
    <w:name w:val="Footer Char"/>
    <w:basedOn w:val="DefaultParagraphFont"/>
    <w:link w:val="Footer"/>
    <w:uiPriority w:val="99"/>
    <w:rsid w:val="005D6DFD"/>
    <w:rPr>
      <w:sz w:val="24"/>
    </w:rPr>
  </w:style>
  <w:style w:type="table" w:styleId="TableGrid">
    <w:name w:val="Table Grid"/>
    <w:basedOn w:val="TableNormal"/>
    <w:uiPriority w:val="39"/>
    <w:rsid w:val="005D6DFD"/>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39"/>
    <w:rsid w:val="005D6D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qFormat/>
    <w:rsid w:val="00377FC3"/>
    <w:pPr>
      <w:widowControl/>
      <w:spacing w:before="40" w:after="40"/>
    </w:pPr>
    <w:rPr>
      <w:rFonts w:ascii="Arial" w:eastAsia="Calibri" w:hAnsi="Arial" w:cs="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8528642">
      <w:bodyDiv w:val="1"/>
      <w:marLeft w:val="0"/>
      <w:marRight w:val="0"/>
      <w:marTop w:val="0"/>
      <w:marBottom w:val="0"/>
      <w:divBdr>
        <w:top w:val="none" w:sz="0" w:space="0" w:color="auto"/>
        <w:left w:val="none" w:sz="0" w:space="0" w:color="auto"/>
        <w:bottom w:val="none" w:sz="0" w:space="0" w:color="auto"/>
        <w:right w:val="none" w:sz="0" w:space="0" w:color="auto"/>
      </w:divBdr>
    </w:div>
    <w:div w:id="899630960">
      <w:bodyDiv w:val="1"/>
      <w:marLeft w:val="0"/>
      <w:marRight w:val="0"/>
      <w:marTop w:val="0"/>
      <w:marBottom w:val="0"/>
      <w:divBdr>
        <w:top w:val="none" w:sz="0" w:space="0" w:color="auto"/>
        <w:left w:val="none" w:sz="0" w:space="0" w:color="auto"/>
        <w:bottom w:val="none" w:sz="0" w:space="0" w:color="auto"/>
        <w:right w:val="none" w:sz="0" w:space="0" w:color="auto"/>
      </w:divBdr>
    </w:div>
    <w:div w:id="1618174471">
      <w:bodyDiv w:val="1"/>
      <w:marLeft w:val="0"/>
      <w:marRight w:val="0"/>
      <w:marTop w:val="0"/>
      <w:marBottom w:val="0"/>
      <w:divBdr>
        <w:top w:val="none" w:sz="0" w:space="0" w:color="auto"/>
        <w:left w:val="none" w:sz="0" w:space="0" w:color="auto"/>
        <w:bottom w:val="none" w:sz="0" w:space="0" w:color="auto"/>
        <w:right w:val="none" w:sz="0" w:space="0" w:color="auto"/>
      </w:divBdr>
    </w:div>
    <w:div w:id="1752502612">
      <w:bodyDiv w:val="1"/>
      <w:marLeft w:val="0"/>
      <w:marRight w:val="0"/>
      <w:marTop w:val="0"/>
      <w:marBottom w:val="0"/>
      <w:divBdr>
        <w:top w:val="none" w:sz="0" w:space="0" w:color="auto"/>
        <w:left w:val="none" w:sz="0" w:space="0" w:color="auto"/>
        <w:bottom w:val="none" w:sz="0" w:space="0" w:color="auto"/>
        <w:right w:val="none" w:sz="0" w:space="0" w:color="auto"/>
      </w:divBdr>
    </w:div>
    <w:div w:id="1868833898">
      <w:bodyDiv w:val="1"/>
      <w:marLeft w:val="0"/>
      <w:marRight w:val="0"/>
      <w:marTop w:val="0"/>
      <w:marBottom w:val="0"/>
      <w:divBdr>
        <w:top w:val="none" w:sz="0" w:space="0" w:color="auto"/>
        <w:left w:val="none" w:sz="0" w:space="0" w:color="auto"/>
        <w:bottom w:val="none" w:sz="0" w:space="0" w:color="auto"/>
        <w:right w:val="none" w:sz="0" w:space="0" w:color="auto"/>
      </w:divBdr>
      <w:divsChild>
        <w:div w:id="21275801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DESE-231-20522</_dlc_DocId>
    <_dlc_DocIdUrl xmlns="733efe1c-5bbe-4968-87dc-d400e65c879f">
      <Url>https://sharepoint.doemass.org/ese/webteam/cps/_layouts/DocIdRedir.aspx?ID=DESE-231-20522</Url>
      <Description>DESE-231-20522</Description>
    </_dlc_DocIdUrl>
  </documentManagement>
</p:properties>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2F63CA5-ECF5-4341-AD97-FEC73A14BDA3}">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35FDB665-65CF-466D-8AF2-190244060B43}">
  <ds:schemaRefs>
    <ds:schemaRef ds:uri="http://schemas.microsoft.com/sharepoint/v3/contenttype/forms"/>
  </ds:schemaRefs>
</ds:datastoreItem>
</file>

<file path=customXml/itemProps3.xml><?xml version="1.0" encoding="utf-8"?>
<ds:datastoreItem xmlns:ds="http://schemas.openxmlformats.org/officeDocument/2006/customXml" ds:itemID="{131DC968-6069-4BFD-9979-D995C7BFEC09}">
  <ds:schemaRefs>
    <ds:schemaRef ds:uri="http://schemas.microsoft.com/sharepoint/events"/>
  </ds:schemaRefs>
</ds:datastoreItem>
</file>

<file path=customXml/itemProps4.xml><?xml version="1.0" encoding="utf-8"?>
<ds:datastoreItem xmlns:ds="http://schemas.openxmlformats.org/officeDocument/2006/customXml" ds:itemID="{76233796-F1E7-42CC-A34D-8227215B80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420</Words>
  <Characters>2399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Appendix C:  Finalized Goal &amp; Implementation Plan Form</vt:lpstr>
    </vt:vector>
  </TitlesOfParts>
  <Company/>
  <LinksUpToDate>false</LinksUpToDate>
  <CharactersWithSpaces>2814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C:  Finalized Goal &amp; Implementation Plan Form</dc:title>
  <dc:creator>ESE</dc:creator>
  <cp:lastModifiedBy>Seider, Scott</cp:lastModifiedBy>
  <cp:revision>4</cp:revision>
  <dcterms:created xsi:type="dcterms:W3CDTF">2017-05-07T23:15:00Z</dcterms:created>
  <dcterms:modified xsi:type="dcterms:W3CDTF">2017-10-02T16:46:00Z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Oct 29 2015</vt:lpwstr>
  </property>
</Properties>
</file>