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D2" w:rsidRDefault="007D31D2">
      <w:pPr>
        <w:rPr>
          <w:b/>
        </w:rPr>
      </w:pPr>
    </w:p>
    <w:p w:rsidR="007D31D2" w:rsidRDefault="007D31D2">
      <w:pPr>
        <w:rPr>
          <w:b/>
        </w:rPr>
      </w:pPr>
    </w:p>
    <w:p w:rsidR="007D31D2" w:rsidRDefault="007D31D2">
      <w:pPr>
        <w:rPr>
          <w:b/>
        </w:rPr>
      </w:pPr>
    </w:p>
    <w:p w:rsidR="007D31D2" w:rsidRDefault="007D31D2">
      <w:pPr>
        <w:rPr>
          <w:b/>
        </w:rPr>
      </w:pPr>
    </w:p>
    <w:p w:rsidR="007D31D2" w:rsidRDefault="007D31D2" w:rsidP="007D31D2">
      <w:pPr>
        <w:jc w:val="center"/>
        <w:rPr>
          <w:b/>
        </w:rPr>
      </w:pPr>
    </w:p>
    <w:p w:rsidR="007D31D2" w:rsidRDefault="007D31D2" w:rsidP="007D31D2">
      <w:pPr>
        <w:jc w:val="center"/>
        <w:rPr>
          <w:b/>
        </w:rPr>
      </w:pPr>
    </w:p>
    <w:p w:rsidR="007D31D2" w:rsidRDefault="007D31D2" w:rsidP="007D31D2">
      <w:pPr>
        <w:jc w:val="center"/>
        <w:rPr>
          <w:b/>
        </w:rPr>
      </w:pPr>
    </w:p>
    <w:p w:rsidR="002A4EF3" w:rsidRPr="00021144" w:rsidRDefault="0023280A" w:rsidP="007D31D2">
      <w:pPr>
        <w:jc w:val="center"/>
        <w:rPr>
          <w:b/>
        </w:rPr>
      </w:pPr>
      <w:r w:rsidRPr="00021144">
        <w:rPr>
          <w:b/>
        </w:rPr>
        <w:t>Financial Globalization and the Future of the Fed</w:t>
      </w:r>
    </w:p>
    <w:p w:rsidR="0023280A" w:rsidRDefault="0023280A" w:rsidP="007D31D2">
      <w:pPr>
        <w:jc w:val="center"/>
      </w:pPr>
      <w:r>
        <w:t>Perry Mehrling</w:t>
      </w:r>
    </w:p>
    <w:p w:rsidR="0023280A" w:rsidRDefault="00F5016F" w:rsidP="007D31D2">
      <w:pPr>
        <w:jc w:val="center"/>
      </w:pPr>
      <w:r>
        <w:t>April 23</w:t>
      </w:r>
      <w:r w:rsidR="007D31D2">
        <w:t>, 2012</w:t>
      </w:r>
    </w:p>
    <w:p w:rsidR="007D31D2" w:rsidRDefault="007D31D2">
      <w:r>
        <w:br w:type="page"/>
      </w:r>
    </w:p>
    <w:p w:rsidR="00021144" w:rsidRDefault="0023280A" w:rsidP="007D31D2">
      <w:pPr>
        <w:spacing w:line="480" w:lineRule="auto"/>
      </w:pPr>
      <w:r>
        <w:lastRenderedPageBreak/>
        <w:t xml:space="preserve">The global financial crisis of 2007-2009 provoked unprecedented response </w:t>
      </w:r>
      <w:r w:rsidR="007D31D2">
        <w:t>by</w:t>
      </w:r>
      <w:r>
        <w:t xml:space="preserve"> the Fed, which stepped in to catch collapsing markets</w:t>
      </w:r>
      <w:r w:rsidR="007D31D2">
        <w:t xml:space="preserve"> on its own balance sheet</w:t>
      </w:r>
      <w:r w:rsidR="00FD2CAC">
        <w:t xml:space="preserve">—both </w:t>
      </w:r>
      <w:r>
        <w:t xml:space="preserve">money and capital markets, </w:t>
      </w:r>
      <w:r w:rsidR="00FD2CAC">
        <w:t xml:space="preserve">both </w:t>
      </w:r>
      <w:r>
        <w:t>do</w:t>
      </w:r>
      <w:r w:rsidR="00FD2CAC">
        <w:t>mestic and international</w:t>
      </w:r>
      <w:r w:rsidR="00CC4EEA">
        <w:t xml:space="preserve"> markets</w:t>
      </w:r>
      <w:r>
        <w:t>.</w:t>
      </w:r>
      <w:r w:rsidR="00747319">
        <w:rPr>
          <w:rStyle w:val="FootnoteReference"/>
        </w:rPr>
        <w:footnoteReference w:id="1"/>
      </w:r>
      <w:r w:rsidR="00747319">
        <w:t xml:space="preserve"> </w:t>
      </w:r>
      <w:r>
        <w:t xml:space="preserve">  </w:t>
      </w:r>
      <w:r w:rsidR="007D5420">
        <w:t>T</w:t>
      </w:r>
      <w:r w:rsidR="00021144">
        <w:t>ake it as given that the Fed, a fundamentally conservative ins</w:t>
      </w:r>
      <w:r w:rsidR="00E1729D">
        <w:t>titution, embraced its new role</w:t>
      </w:r>
      <w:r w:rsidR="00021144">
        <w:t xml:space="preserve"> only reluctantly an</w:t>
      </w:r>
      <w:r w:rsidR="007D5420">
        <w:t>d as a genuine last resort.  T</w:t>
      </w:r>
      <w:r w:rsidR="007D31D2">
        <w:t xml:space="preserve">ake it further </w:t>
      </w:r>
      <w:r w:rsidR="00021144">
        <w:t xml:space="preserve">as given that the Fed would prefer now to return as quickly as possible to </w:t>
      </w:r>
      <w:r w:rsidR="00CC4EEA">
        <w:t xml:space="preserve">the </w:t>
      </w:r>
      <w:r w:rsidR="00021144">
        <w:t xml:space="preserve">status quo ante.   The </w:t>
      </w:r>
      <w:r w:rsidR="00F5016F">
        <w:t>argument</w:t>
      </w:r>
      <w:r w:rsidR="00021144">
        <w:t xml:space="preserve"> of the present paper, however, is that no such return is possible.  The world has changed, and the Fed must change with it; that i</w:t>
      </w:r>
      <w:r w:rsidR="007D31D2">
        <w:t>s the main lesson of the crisis</w:t>
      </w:r>
      <w:r w:rsidR="00021144">
        <w:t>.</w:t>
      </w:r>
    </w:p>
    <w:p w:rsidR="0023280A" w:rsidRDefault="00382CC9" w:rsidP="007D31D2">
      <w:pPr>
        <w:spacing w:line="480" w:lineRule="auto"/>
      </w:pPr>
      <w:r>
        <w:t>Before the collapse of Bear Stearns in</w:t>
      </w:r>
      <w:r w:rsidR="00CC4EEA">
        <w:t xml:space="preserve"> March 2008, the Fed’s principal</w:t>
      </w:r>
      <w:r>
        <w:t xml:space="preserve"> weapon </w:t>
      </w:r>
      <w:r w:rsidR="005A0476">
        <w:t xml:space="preserve">against expanding crisis </w:t>
      </w:r>
      <w:r w:rsidR="00E1729D">
        <w:t>was</w:t>
      </w:r>
      <w:r>
        <w:t xml:space="preserve"> the Fed Funds target, </w:t>
      </w:r>
      <w:r w:rsidR="00A60854">
        <w:t xml:space="preserve">which it </w:t>
      </w:r>
      <w:r>
        <w:t xml:space="preserve">reduced from 5% to 2%.  After Bear Stearns, </w:t>
      </w:r>
      <w:r w:rsidR="00A60854">
        <w:t xml:space="preserve">the Fed began </w:t>
      </w:r>
      <w:r>
        <w:t xml:space="preserve">lender-of-last-resort </w:t>
      </w:r>
      <w:r w:rsidR="00A60854">
        <w:t>operations</w:t>
      </w:r>
      <w:r w:rsidR="00280852">
        <w:t xml:space="preserve"> in earnest</w:t>
      </w:r>
      <w:r w:rsidR="005A0476">
        <w:t xml:space="preserve">, </w:t>
      </w:r>
      <w:r>
        <w:t>liquidat</w:t>
      </w:r>
      <w:r w:rsidR="005A0476">
        <w:t>ing</w:t>
      </w:r>
      <w:r>
        <w:t xml:space="preserve"> its holding</w:t>
      </w:r>
      <w:r w:rsidR="005A0476">
        <w:t xml:space="preserve"> of Treasury securities and lending</w:t>
      </w:r>
      <w:r>
        <w:t xml:space="preserve"> the proceeds to banks and broker-dealers.  And then, after the collapse of Lehman and AIG in September 2008, the Fed </w:t>
      </w:r>
      <w:r w:rsidR="00A60854">
        <w:t>did even more, expanding</w:t>
      </w:r>
      <w:r>
        <w:t xml:space="preserve"> both sides of </w:t>
      </w:r>
      <w:r w:rsidR="00FD2CAC">
        <w:t>its</w:t>
      </w:r>
      <w:r w:rsidR="00A60854">
        <w:t xml:space="preserve"> balance sheet at </w:t>
      </w:r>
      <w:r w:rsidR="00E1729D">
        <w:t>the same time</w:t>
      </w:r>
      <w:r w:rsidR="00A60854">
        <w:t>, lending</w:t>
      </w:r>
      <w:r w:rsidR="0077316A">
        <w:t xml:space="preserve"> </w:t>
      </w:r>
      <w:r>
        <w:t>by creating new reserves</w:t>
      </w:r>
      <w:r w:rsidR="005A0476">
        <w:t xml:space="preserve"> from thin air</w:t>
      </w:r>
      <w:r>
        <w:t xml:space="preserve">.  </w:t>
      </w:r>
      <w:r w:rsidR="007D31D2">
        <w:t>Today</w:t>
      </w:r>
      <w:r w:rsidR="0023280A">
        <w:t>, the emergency l</w:t>
      </w:r>
      <w:r w:rsidR="00CC4EEA">
        <w:t>oans have</w:t>
      </w:r>
      <w:r w:rsidR="0023280A">
        <w:t xml:space="preserve"> for the most part run off, but a trillion dollars of</w:t>
      </w:r>
      <w:r>
        <w:t xml:space="preserve"> mortgage backed securit</w:t>
      </w:r>
      <w:r w:rsidR="0022339B">
        <w:t>ies</w:t>
      </w:r>
      <w:r>
        <w:t xml:space="preserve"> </w:t>
      </w:r>
      <w:r w:rsidR="0019030B">
        <w:t>have taken their place, and</w:t>
      </w:r>
      <w:r w:rsidR="00280852">
        <w:t xml:space="preserve"> more than</w:t>
      </w:r>
      <w:r w:rsidR="0019030B">
        <w:t xml:space="preserve"> a</w:t>
      </w:r>
      <w:r>
        <w:t xml:space="preserve"> trillion dollars of new reserves remain.</w:t>
      </w:r>
      <w:r w:rsidR="0023280A">
        <w:t xml:space="preserve">   </w:t>
      </w:r>
      <w:r w:rsidR="0077316A">
        <w:t>The Fed’s balance sheet is not back to normal, and neither is the global financial system so narrowly rescued from collapse.</w:t>
      </w:r>
    </w:p>
    <w:p w:rsidR="00BA5633" w:rsidRDefault="0077316A" w:rsidP="007D31D2">
      <w:pPr>
        <w:spacing w:line="480" w:lineRule="auto"/>
      </w:pPr>
      <w:r>
        <w:t>The title of th</w:t>
      </w:r>
      <w:r w:rsidR="00BA5633">
        <w:t>e present</w:t>
      </w:r>
      <w:r>
        <w:t xml:space="preserve"> paper</w:t>
      </w:r>
      <w:r w:rsidR="00F5016F">
        <w:t xml:space="preserve"> </w:t>
      </w:r>
      <w:r>
        <w:t>is meant to suggest the historic ch</w:t>
      </w:r>
      <w:r w:rsidR="007D31D2">
        <w:t xml:space="preserve">aracter of the times we are </w:t>
      </w:r>
      <w:r>
        <w:t xml:space="preserve">living in.  </w:t>
      </w:r>
      <w:r w:rsidR="00F5016F">
        <w:t xml:space="preserve">In practice, </w:t>
      </w:r>
      <w:r>
        <w:t>Bagehot’s famous rule for central banks facing financial crisis—</w:t>
      </w:r>
      <w:r w:rsidR="00BA5633">
        <w:t>“</w:t>
      </w:r>
      <w:r>
        <w:t>lend freely but at a high interest rate</w:t>
      </w:r>
      <w:r w:rsidR="00BA5633">
        <w:t>”</w:t>
      </w:r>
      <w:r>
        <w:t>—proved insufficient</w:t>
      </w:r>
      <w:r w:rsidR="000D2CE9">
        <w:t xml:space="preserve"> for modern times</w:t>
      </w:r>
      <w:r w:rsidR="00BA5633">
        <w:t>,</w:t>
      </w:r>
      <w:r>
        <w:t xml:space="preserve"> </w:t>
      </w:r>
      <w:r w:rsidR="00F5016F">
        <w:t>and</w:t>
      </w:r>
      <w:r>
        <w:t xml:space="preserve"> the Fed found itself scrambling for additional weapons.  In </w:t>
      </w:r>
      <w:r w:rsidR="007D31D2">
        <w:t>previous</w:t>
      </w:r>
      <w:r>
        <w:t xml:space="preserve"> work I have characterized this scramble as </w:t>
      </w:r>
      <w:r w:rsidR="00BA5633">
        <w:t>a shift from traditional lender-of-last-</w:t>
      </w:r>
      <w:r w:rsidR="00BA5633">
        <w:lastRenderedPageBreak/>
        <w:t>resort to “dealer-of-last-resort”, and from domestic lender-of-last-resort to international lender-of-last-resort.</w:t>
      </w:r>
      <w:r w:rsidR="00021144">
        <w:rPr>
          <w:rStyle w:val="FootnoteReference"/>
        </w:rPr>
        <w:footnoteReference w:id="2"/>
      </w:r>
      <w:r w:rsidR="007D5420">
        <w:t xml:space="preserve">  These were innovations in response to crisis</w:t>
      </w:r>
      <w:r w:rsidR="00FD2CAC">
        <w:t>, and they worked</w:t>
      </w:r>
      <w:r w:rsidR="007D5420">
        <w:t xml:space="preserve">; what </w:t>
      </w:r>
      <w:r w:rsidR="00FD2CAC">
        <w:t>can we learn from them</w:t>
      </w:r>
      <w:r w:rsidR="007D5420">
        <w:t xml:space="preserve"> about the role of the Fed going forward?</w:t>
      </w:r>
    </w:p>
    <w:p w:rsidR="00021144" w:rsidRDefault="00021144" w:rsidP="007D31D2">
      <w:pPr>
        <w:spacing w:line="480" w:lineRule="auto"/>
      </w:pPr>
      <w:r>
        <w:t>Everyone now knows the broad outlines of what happened.    Over the last thirty years, our familiar bank loan-based credit system was substantially replaced by a capital market-based credit system, sometimes cal</w:t>
      </w:r>
      <w:r w:rsidR="0022339B">
        <w:t>led the “shadow banking system” (FCIC 2011).</w:t>
      </w:r>
      <w:r>
        <w:t xml:space="preserve">   The</w:t>
      </w:r>
      <w:r w:rsidR="00E1729D">
        <w:t xml:space="preserve"> epicenter of the</w:t>
      </w:r>
      <w:r>
        <w:t xml:space="preserve"> financial crisis of 2007-2009 </w:t>
      </w:r>
      <w:r w:rsidR="00280852">
        <w:t>lay</w:t>
      </w:r>
      <w:r w:rsidR="00E1729D">
        <w:t xml:space="preserve"> within</w:t>
      </w:r>
      <w:r>
        <w:t xml:space="preserve"> that new system, which collapsed onto what r</w:t>
      </w:r>
      <w:r w:rsidR="007D31D2">
        <w:t xml:space="preserve">emained of the traditional banking </w:t>
      </w:r>
      <w:r>
        <w:t xml:space="preserve">system, </w:t>
      </w:r>
      <w:r w:rsidR="007D31D2">
        <w:t>which</w:t>
      </w:r>
      <w:r w:rsidR="0022339B">
        <w:t xml:space="preserve"> then</w:t>
      </w:r>
      <w:r>
        <w:t xml:space="preserve"> subsequently collapsed onto the balance sheet of the Fed and other public entities.  Regulatory response to date—for example, Dodd-Frank and Basel III--has focused mainly on shoring up the </w:t>
      </w:r>
      <w:r w:rsidR="00E1729D">
        <w:t>traditional banking system, and so protecting</w:t>
      </w:r>
      <w:r>
        <w:t xml:space="preserve"> the public </w:t>
      </w:r>
      <w:r w:rsidR="00F5016F">
        <w:t>purse</w:t>
      </w:r>
      <w:r w:rsidR="00E1729D">
        <w:t xml:space="preserve"> from future encroachment</w:t>
      </w:r>
      <w:r>
        <w:t xml:space="preserve">.  Regulatory treatment of the new shadow banking system </w:t>
      </w:r>
      <w:r w:rsidR="00E1729D">
        <w:t>was</w:t>
      </w:r>
      <w:r>
        <w:t xml:space="preserve"> left for later.</w:t>
      </w:r>
    </w:p>
    <w:p w:rsidR="007D31D2" w:rsidRDefault="00F5016F" w:rsidP="007D31D2">
      <w:pPr>
        <w:spacing w:line="480" w:lineRule="auto"/>
      </w:pPr>
      <w:r>
        <w:t>But l</w:t>
      </w:r>
      <w:r w:rsidR="00E1729D">
        <w:t>ater is n</w:t>
      </w:r>
      <w:r w:rsidR="007D31D2">
        <w:t xml:space="preserve">ow upon us, and the question </w:t>
      </w:r>
      <w:r w:rsidR="00280852">
        <w:t xml:space="preserve">now </w:t>
      </w:r>
      <w:r w:rsidR="007D31D2">
        <w:t>confronts</w:t>
      </w:r>
      <w:r w:rsidR="00E1729D">
        <w:t xml:space="preserve"> us.  What is shadow banking, and how should it be regulated?</w:t>
      </w:r>
      <w:r w:rsidR="0022339B">
        <w:t xml:space="preserve">  The central thesis of this paper is that shadow banking is nothing less than the latest institutional form taken by financial globa</w:t>
      </w:r>
      <w:r>
        <w:t xml:space="preserve">lization, as it has grown up over </w:t>
      </w:r>
      <w:r w:rsidR="0022339B">
        <w:t>the last 30 years.</w:t>
      </w:r>
      <w:r w:rsidR="0022339B">
        <w:rPr>
          <w:rStyle w:val="FootnoteReference"/>
        </w:rPr>
        <w:footnoteReference w:id="3"/>
      </w:r>
      <w:r w:rsidR="0022339B">
        <w:t xml:space="preserve">  It follows that the problem of regulating shadow banking is nothing less than the problem of regulating the global system of funding and risk transfer, as that system continues to evolve in the years to come.</w:t>
      </w:r>
    </w:p>
    <w:p w:rsidR="007D31D2" w:rsidRDefault="007D31D2" w:rsidP="007D31D2">
      <w:pPr>
        <w:spacing w:line="480" w:lineRule="auto"/>
      </w:pPr>
    </w:p>
    <w:p w:rsidR="0019030B" w:rsidRPr="007D31D2" w:rsidRDefault="007D31D2" w:rsidP="007D31D2">
      <w:pPr>
        <w:spacing w:line="480" w:lineRule="auto"/>
      </w:pPr>
      <w:r>
        <w:t xml:space="preserve">I.  </w:t>
      </w:r>
      <w:r w:rsidR="00747A86" w:rsidRPr="007D31D2">
        <w:rPr>
          <w:b/>
        </w:rPr>
        <w:t>The Three Faces of Shadow Banking</w:t>
      </w:r>
    </w:p>
    <w:p w:rsidR="006110CD" w:rsidRDefault="00C31AAD" w:rsidP="007D31D2">
      <w:pPr>
        <w:spacing w:line="480" w:lineRule="auto"/>
      </w:pPr>
      <w:r>
        <w:t>Figure 1 is a stylized picture of how the system worked, when it was w</w:t>
      </w:r>
      <w:r w:rsidR="006110CD">
        <w:t>orking, in just six balance sheets.</w:t>
      </w:r>
      <w:r w:rsidR="0008132E" w:rsidRPr="0008132E">
        <w:rPr>
          <w:rStyle w:val="EndnoteReference"/>
        </w:rPr>
        <w:t xml:space="preserve"> </w:t>
      </w:r>
      <w:r w:rsidR="00021144">
        <w:t xml:space="preserve"> </w:t>
      </w:r>
      <w:r w:rsidR="006110CD">
        <w:t>I give</w:t>
      </w:r>
      <w:r w:rsidR="00280852">
        <w:t xml:space="preserve"> an abstract label</w:t>
      </w:r>
      <w:r w:rsidR="006110CD">
        <w:t xml:space="preserve"> to </w:t>
      </w:r>
      <w:r w:rsidR="00280852">
        <w:t>each of the</w:t>
      </w:r>
      <w:r w:rsidR="006110CD">
        <w:t xml:space="preserve"> balance sheets, rather than identifyin</w:t>
      </w:r>
      <w:r w:rsidR="007D31D2">
        <w:t xml:space="preserve">g them with specific </w:t>
      </w:r>
      <w:r w:rsidR="006110CD">
        <w:t xml:space="preserve">financial </w:t>
      </w:r>
      <w:r w:rsidR="006110CD">
        <w:lastRenderedPageBreak/>
        <w:t>firms, because often financial firms were involved in more than one of the pictured activities.  I also leave out a lot of detail</w:t>
      </w:r>
      <w:r w:rsidR="007D5420">
        <w:t xml:space="preserve"> </w:t>
      </w:r>
      <w:r w:rsidR="006110CD">
        <w:t xml:space="preserve">in order to emphasize that shadow banking must be understood as a system, not </w:t>
      </w:r>
      <w:r w:rsidR="00280852">
        <w:t xml:space="preserve">as </w:t>
      </w:r>
      <w:r w:rsidR="006110CD">
        <w:t>the activity of any particular entity.</w:t>
      </w:r>
      <w:r w:rsidR="00021144">
        <w:rPr>
          <w:rStyle w:val="FootnoteReference"/>
        </w:rPr>
        <w:footnoteReference w:id="4"/>
      </w:r>
      <w:r w:rsidR="006110CD">
        <w:t xml:space="preserve">  </w:t>
      </w:r>
    </w:p>
    <w:p w:rsidR="00F5016F" w:rsidRDefault="00F5016F" w:rsidP="007D31D2">
      <w:pPr>
        <w:spacing w:line="480" w:lineRule="auto"/>
      </w:pPr>
      <w:r>
        <w:t>[Insert Figure 1 about here]</w:t>
      </w:r>
    </w:p>
    <w:p w:rsidR="00E1729D" w:rsidRDefault="00021144" w:rsidP="007D31D2">
      <w:pPr>
        <w:spacing w:line="480" w:lineRule="auto"/>
      </w:pPr>
      <w:r>
        <w:t>In Figure 1, t</w:t>
      </w:r>
      <w:r w:rsidR="006110CD">
        <w:t>he entity that I label as “Shadow Bank” is so called because it most closely resembles the Jimmy Stewart bank that</w:t>
      </w:r>
      <w:r w:rsidR="007D31D2">
        <w:t xml:space="preserve"> still</w:t>
      </w:r>
      <w:r w:rsidR="006110CD">
        <w:t xml:space="preserve"> serves</w:t>
      </w:r>
      <w:r w:rsidR="007D31D2" w:rsidRPr="007D31D2">
        <w:t xml:space="preserve"> </w:t>
      </w:r>
      <w:r w:rsidR="007D31D2">
        <w:t xml:space="preserve">as the analytical starting point </w:t>
      </w:r>
      <w:r w:rsidR="006110CD">
        <w:t>for most of us.  The Jimmy Stewart bank issued deposits and used the proceeds to fund mortgage loans.</w:t>
      </w:r>
      <w:r w:rsidR="007D31D2">
        <w:t xml:space="preserve">  The Shadow Bank issued</w:t>
      </w:r>
      <w:r w:rsidR="006110CD">
        <w:t xml:space="preserve"> m</w:t>
      </w:r>
      <w:r w:rsidR="007D31D2">
        <w:t>oney market instruments and used</w:t>
      </w:r>
      <w:r w:rsidR="006110CD">
        <w:t xml:space="preserve"> the proceeds to fund mortgage-backed securities.  </w:t>
      </w:r>
    </w:p>
    <w:p w:rsidR="006110CD" w:rsidRDefault="0022339B" w:rsidP="007D31D2">
      <w:pPr>
        <w:spacing w:line="480" w:lineRule="auto"/>
      </w:pPr>
      <w:r>
        <w:t>T</w:t>
      </w:r>
      <w:r w:rsidR="00280852">
        <w:t>he analogy</w:t>
      </w:r>
      <w:r>
        <w:t xml:space="preserve"> can be extended</w:t>
      </w:r>
      <w:r w:rsidR="00280852">
        <w:t>.  D</w:t>
      </w:r>
      <w:r w:rsidR="006110CD">
        <w:t>epositors in the Jimmy Stewart bank were protected from possible bank insolvency by a deposit insurance scheme</w:t>
      </w:r>
      <w:r w:rsidR="00E1729D">
        <w:t xml:space="preserve"> (the FDIC)</w:t>
      </w:r>
      <w:r w:rsidR="006110CD">
        <w:t xml:space="preserve"> and from possible bank illiquidity by a lender of last resort facility</w:t>
      </w:r>
      <w:r w:rsidR="00E1729D">
        <w:t xml:space="preserve"> (</w:t>
      </w:r>
      <w:r w:rsidR="006110CD">
        <w:t>the Fed</w:t>
      </w:r>
      <w:r w:rsidR="00E1729D">
        <w:t>)</w:t>
      </w:r>
      <w:r>
        <w:t>.  C</w:t>
      </w:r>
      <w:r w:rsidR="00FD2CAC">
        <w:t>reditors</w:t>
      </w:r>
      <w:r w:rsidR="006110CD">
        <w:t xml:space="preserve"> of the Shadow Bank were protected similarly by </w:t>
      </w:r>
      <w:r w:rsidR="00587668">
        <w:t>a</w:t>
      </w:r>
      <w:r w:rsidR="00E1729D">
        <w:t xml:space="preserve"> private</w:t>
      </w:r>
      <w:r w:rsidR="00587668">
        <w:t xml:space="preserve"> asset insurance scheme—credit default swaps—and a </w:t>
      </w:r>
      <w:r w:rsidR="00E1729D">
        <w:t xml:space="preserve">private </w:t>
      </w:r>
      <w:r w:rsidR="00587668">
        <w:t>liquidity put to the traditional banking system.</w:t>
      </w:r>
      <w:r w:rsidR="00587668">
        <w:rPr>
          <w:rStyle w:val="FootnoteReference"/>
        </w:rPr>
        <w:footnoteReference w:id="5"/>
      </w:r>
      <w:r w:rsidR="00587668">
        <w:t xml:space="preserve">  But these were supposed to be ultimate backstops only.  Just as the Jimmy Stewart bank held capital </w:t>
      </w:r>
      <w:r w:rsidR="00021144">
        <w:t>and liquidity buffers that</w:t>
      </w:r>
      <w:r w:rsidR="00587668">
        <w:t xml:space="preserve"> kick</w:t>
      </w:r>
      <w:r w:rsidR="00021144">
        <w:t>ed</w:t>
      </w:r>
      <w:r w:rsidR="00587668">
        <w:t xml:space="preserve"> in before the government backstop, so too did the Shadow Bank</w:t>
      </w:r>
      <w:r>
        <w:t>.  T</w:t>
      </w:r>
      <w:r w:rsidR="00587668">
        <w:t xml:space="preserve">hese </w:t>
      </w:r>
      <w:r w:rsidR="00280852">
        <w:t xml:space="preserve">buffers </w:t>
      </w:r>
      <w:r>
        <w:t>are what</w:t>
      </w:r>
      <w:r w:rsidR="00FD2CAC">
        <w:t xml:space="preserve"> </w:t>
      </w:r>
      <w:proofErr w:type="gramStart"/>
      <w:r w:rsidR="00587668">
        <w:t>is</w:t>
      </w:r>
      <w:proofErr w:type="gramEnd"/>
      <w:r w:rsidR="00587668">
        <w:t xml:space="preserve"> most important to understand because </w:t>
      </w:r>
      <w:r w:rsidR="00784D63">
        <w:t>they</w:t>
      </w:r>
      <w:r w:rsidR="00587668">
        <w:t xml:space="preserve"> are what failed.</w:t>
      </w:r>
    </w:p>
    <w:p w:rsidR="00587668" w:rsidRDefault="00280852" w:rsidP="007D31D2">
      <w:pPr>
        <w:spacing w:line="480" w:lineRule="auto"/>
      </w:pPr>
      <w:r>
        <w:t xml:space="preserve">Unlike the </w:t>
      </w:r>
      <w:r w:rsidR="00F5016F">
        <w:t xml:space="preserve">case of </w:t>
      </w:r>
      <w:r>
        <w:t>Jimmy Stewart bank</w:t>
      </w:r>
      <w:r w:rsidR="00F5016F">
        <w:t>ing</w:t>
      </w:r>
      <w:r>
        <w:t>, t</w:t>
      </w:r>
      <w:r w:rsidR="00F61E03">
        <w:t>he capital buffer of the Shadow B</w:t>
      </w:r>
      <w:r w:rsidR="00587668">
        <w:t>ank was</w:t>
      </w:r>
      <w:r>
        <w:t xml:space="preserve"> not on its own balance sheet but rather</w:t>
      </w:r>
      <w:r w:rsidR="00587668">
        <w:t xml:space="preserve"> in the rest of the system.  Losses on the underlying mortgages </w:t>
      </w:r>
      <w:r w:rsidR="00F5016F">
        <w:t>were supposed to</w:t>
      </w:r>
      <w:r w:rsidR="00587668">
        <w:t xml:space="preserve"> hit first the Lo Tranche, which I show as an asset held by a Hedge Fund.</w:t>
      </w:r>
      <w:r w:rsidR="00021144">
        <w:rPr>
          <w:rStyle w:val="FootnoteReference"/>
        </w:rPr>
        <w:footnoteReference w:id="6"/>
      </w:r>
      <w:r w:rsidR="00587668">
        <w:t xml:space="preserve">  Second losses would hit the Mid Tranche, which I show as an asset held by a Pe</w:t>
      </w:r>
      <w:r w:rsidR="006E3DA7">
        <w:t xml:space="preserve">nsion Fund.  </w:t>
      </w:r>
      <w:r>
        <w:t xml:space="preserve">The capital of these two </w:t>
      </w:r>
      <w:r w:rsidR="0022339B">
        <w:t>Funds</w:t>
      </w:r>
      <w:r>
        <w:t xml:space="preserve"> was</w:t>
      </w:r>
      <w:r w:rsidR="007D31D2">
        <w:t xml:space="preserve"> </w:t>
      </w:r>
      <w:r w:rsidR="007D31D2">
        <w:lastRenderedPageBreak/>
        <w:t>therefore</w:t>
      </w:r>
      <w:r>
        <w:t xml:space="preserve"> in effect the capital buffer of the Shadow Bank.  O</w:t>
      </w:r>
      <w:r w:rsidR="006E3DA7">
        <w:t>nly very severe losses would hit the Hi Tranche, and the CDS backstop was there to cover this</w:t>
      </w:r>
      <w:r w:rsidR="00F5016F">
        <w:t xml:space="preserve"> presumably</w:t>
      </w:r>
      <w:r w:rsidR="006E3DA7">
        <w:t xml:space="preserve"> improbable event.</w:t>
      </w:r>
    </w:p>
    <w:p w:rsidR="006E3DA7" w:rsidRDefault="006E3DA7" w:rsidP="007D31D2">
      <w:pPr>
        <w:spacing w:line="480" w:lineRule="auto"/>
      </w:pPr>
      <w:r>
        <w:t xml:space="preserve">The liquidity buffer of the </w:t>
      </w:r>
      <w:r w:rsidR="00E1729D">
        <w:t>S</w:t>
      </w:r>
      <w:r>
        <w:t xml:space="preserve">hadow </w:t>
      </w:r>
      <w:r w:rsidR="00E1729D">
        <w:t>B</w:t>
      </w:r>
      <w:r>
        <w:t xml:space="preserve">ank </w:t>
      </w:r>
      <w:r w:rsidR="00E1729D">
        <w:t xml:space="preserve">was </w:t>
      </w:r>
      <w:r w:rsidR="00784D63">
        <w:t xml:space="preserve">also </w:t>
      </w:r>
      <w:r>
        <w:t xml:space="preserve">in the rest of the system.  By construction, the Hi Tranche assets of the Shadow Bank were collateral for short term money market borrowing, </w:t>
      </w:r>
      <w:r w:rsidR="00F61E03">
        <w:t>such as</w:t>
      </w:r>
      <w:r>
        <w:t xml:space="preserve"> term funding using Asset Backed Commercial Paper, which might </w:t>
      </w:r>
      <w:r w:rsidR="00F61E03">
        <w:t xml:space="preserve">for example </w:t>
      </w:r>
      <w:r>
        <w:t xml:space="preserve">be </w:t>
      </w:r>
      <w:r w:rsidR="00280852">
        <w:t>sold to</w:t>
      </w:r>
      <w:r>
        <w:t xml:space="preserve"> an institutional Money Market Mutual Fund.  </w:t>
      </w:r>
      <w:r w:rsidR="00E1729D">
        <w:t>I</w:t>
      </w:r>
      <w:r w:rsidR="008A3A82">
        <w:t xml:space="preserve">f that </w:t>
      </w:r>
      <w:r w:rsidR="00E1729D">
        <w:t>b</w:t>
      </w:r>
      <w:r w:rsidR="008A3A82">
        <w:t xml:space="preserve">uffer dried up, there was </w:t>
      </w:r>
      <w:r w:rsidR="00E1729D">
        <w:t>always the general</w:t>
      </w:r>
      <w:r w:rsidR="008A3A82">
        <w:t xml:space="preserve"> repo market where good collateral could be used to raise funding at shorter term.  </w:t>
      </w:r>
      <w:r w:rsidR="00280852">
        <w:t xml:space="preserve">The liquidity buffer </w:t>
      </w:r>
      <w:r w:rsidR="007D31D2">
        <w:t>of the Shadow Bank was thus</w:t>
      </w:r>
      <w:r w:rsidR="00280852">
        <w:t xml:space="preserve"> on the balance sheet of the MMMF and the repo dealer, not the Shadow Bank</w:t>
      </w:r>
      <w:r w:rsidR="007D31D2">
        <w:t xml:space="preserve"> itself</w:t>
      </w:r>
      <w:r w:rsidR="00280852">
        <w:t>.  O</w:t>
      </w:r>
      <w:r w:rsidR="00E1729D">
        <w:t>nly v</w:t>
      </w:r>
      <w:r w:rsidR="008A3A82">
        <w:t xml:space="preserve">ery severe liquidity crunches </w:t>
      </w:r>
      <w:r w:rsidR="00E1729D">
        <w:t xml:space="preserve">would impair Shadow Bank liquidity, </w:t>
      </w:r>
      <w:r w:rsidR="00784D63">
        <w:t xml:space="preserve">and </w:t>
      </w:r>
      <w:r w:rsidR="000007A4">
        <w:t xml:space="preserve">to cover </w:t>
      </w:r>
      <w:r w:rsidR="00784D63">
        <w:t>that</w:t>
      </w:r>
      <w:r w:rsidR="00F5016F">
        <w:t xml:space="preserve"> presumably</w:t>
      </w:r>
      <w:r w:rsidR="00784D63">
        <w:t xml:space="preserve"> improbable</w:t>
      </w:r>
      <w:r w:rsidR="008A3A82">
        <w:t xml:space="preserve"> event there was the liquidity put to the traditional banking system.</w:t>
      </w:r>
      <w:r w:rsidR="007D31D2" w:rsidRPr="007D31D2">
        <w:rPr>
          <w:rStyle w:val="FootnoteReference"/>
        </w:rPr>
        <w:t xml:space="preserve"> </w:t>
      </w:r>
      <w:r w:rsidR="007D31D2">
        <w:rPr>
          <w:rStyle w:val="FootnoteReference"/>
        </w:rPr>
        <w:footnoteReference w:id="7"/>
      </w:r>
      <w:r w:rsidR="00F61E03">
        <w:t xml:space="preserve"> </w:t>
      </w:r>
    </w:p>
    <w:p w:rsidR="008A3A82" w:rsidRDefault="00021144" w:rsidP="007D31D2">
      <w:pPr>
        <w:spacing w:line="480" w:lineRule="auto"/>
      </w:pPr>
      <w:r>
        <w:t>From a</w:t>
      </w:r>
      <w:r w:rsidR="008A3A82">
        <w:t xml:space="preserve"> Jimmy Stewart point of view, shadow banking </w:t>
      </w:r>
      <w:r w:rsidR="0022339B">
        <w:t xml:space="preserve">thus </w:t>
      </w:r>
      <w:r w:rsidR="008A3A82">
        <w:t xml:space="preserve">looks </w:t>
      </w:r>
      <w:r w:rsidR="000007A4">
        <w:t>like</w:t>
      </w:r>
      <w:r w:rsidR="008A3A82">
        <w:t xml:space="preserve"> a way of doing more or less exactly what traditional banking d</w:t>
      </w:r>
      <w:r w:rsidR="00F5016F">
        <w:t>oes</w:t>
      </w:r>
      <w:r w:rsidR="008A3A82">
        <w:t xml:space="preserve">, but with more </w:t>
      </w:r>
      <w:r w:rsidR="00175DEF">
        <w:t xml:space="preserve">steps, less regulation, and </w:t>
      </w:r>
      <w:r w:rsidR="000007A4">
        <w:t>no</w:t>
      </w:r>
      <w:r w:rsidR="00175DEF">
        <w:t xml:space="preserve"> </w:t>
      </w:r>
      <w:r w:rsidR="00745CBA">
        <w:t>(direct</w:t>
      </w:r>
      <w:r w:rsidR="00F61E03">
        <w:t xml:space="preserve">) </w:t>
      </w:r>
      <w:r w:rsidR="00175DEF">
        <w:t>government backstop.  For criti</w:t>
      </w:r>
      <w:r w:rsidR="0022339B">
        <w:t>cs of shadow banking</w:t>
      </w:r>
      <w:r>
        <w:t xml:space="preserve">, it looks </w:t>
      </w:r>
      <w:r w:rsidR="00175DEF">
        <w:t>like a</w:t>
      </w:r>
      <w:r w:rsidR="000007A4">
        <w:t xml:space="preserve"> case of </w:t>
      </w:r>
      <w:r w:rsidR="00175DEF">
        <w:t>social</w:t>
      </w:r>
      <w:r w:rsidR="000007A4">
        <w:t>ly</w:t>
      </w:r>
      <w:r w:rsidR="00175DEF">
        <w:t xml:space="preserve"> ine</w:t>
      </w:r>
      <w:r>
        <w:t>fficien</w:t>
      </w:r>
      <w:r w:rsidR="000007A4">
        <w:t>t t</w:t>
      </w:r>
      <w:r w:rsidR="00280852">
        <w:t>echnology gaining a toehold</w:t>
      </w:r>
      <w:r w:rsidR="000007A4">
        <w:t xml:space="preserve"> because regulatory evasion makes it </w:t>
      </w:r>
      <w:r w:rsidR="00175DEF">
        <w:t>privately profitable</w:t>
      </w:r>
      <w:r w:rsidR="000007A4">
        <w:t>.</w:t>
      </w:r>
      <w:r w:rsidR="00175DEF">
        <w:t xml:space="preserve">  For </w:t>
      </w:r>
      <w:r w:rsidR="0022339B">
        <w:t>enthusiasts,</w:t>
      </w:r>
      <w:r>
        <w:t xml:space="preserve"> by contrast, it </w:t>
      </w:r>
      <w:r w:rsidR="00175DEF">
        <w:t>look</w:t>
      </w:r>
      <w:r>
        <w:t>s</w:t>
      </w:r>
      <w:r w:rsidR="00175DEF">
        <w:t xml:space="preserve"> like a</w:t>
      </w:r>
      <w:r w:rsidR="000007A4">
        <w:t xml:space="preserve"> case of</w:t>
      </w:r>
      <w:r w:rsidR="00280852">
        <w:t xml:space="preserve"> demonstrably</w:t>
      </w:r>
      <w:r w:rsidR="000007A4">
        <w:t xml:space="preserve"> superior technology gaining a toehold by finding</w:t>
      </w:r>
      <w:r w:rsidR="00280852">
        <w:t xml:space="preserve"> ingenious</w:t>
      </w:r>
      <w:r w:rsidR="000007A4">
        <w:t xml:space="preserve"> ways to overcome inefficient and outmoded regulatory strictures.</w:t>
      </w:r>
      <w:r w:rsidR="00175DEF">
        <w:t xml:space="preserve">  </w:t>
      </w:r>
      <w:r w:rsidR="005637F4">
        <w:t>Instead of taking a position one way or the other in this ideologically fraught</w:t>
      </w:r>
      <w:r w:rsidR="00280852">
        <w:t xml:space="preserve"> regulatory</w:t>
      </w:r>
      <w:r w:rsidR="005637F4">
        <w:t xml:space="preserve"> debate, </w:t>
      </w:r>
      <w:r w:rsidR="000007A4">
        <w:t xml:space="preserve">I simply </w:t>
      </w:r>
      <w:r w:rsidR="00175DEF">
        <w:t>note the standoff and move on</w:t>
      </w:r>
      <w:r w:rsidR="00813527">
        <w:t>, b</w:t>
      </w:r>
      <w:r w:rsidR="00175DEF">
        <w:t xml:space="preserve">ecause there are </w:t>
      </w:r>
      <w:r w:rsidR="008A3A82">
        <w:t xml:space="preserve">two other </w:t>
      </w:r>
      <w:r w:rsidR="000007A4">
        <w:t>possible</w:t>
      </w:r>
      <w:r w:rsidR="008A3A82">
        <w:t xml:space="preserve"> entry points for analysis</w:t>
      </w:r>
      <w:r w:rsidR="00175DEF">
        <w:t>,</w:t>
      </w:r>
      <w:r w:rsidR="008A3A82">
        <w:t xml:space="preserve"> </w:t>
      </w:r>
      <w:r w:rsidR="00175DEF">
        <w:t>that have not been adequately explored in the literature</w:t>
      </w:r>
      <w:r w:rsidR="00813527">
        <w:t>,</w:t>
      </w:r>
      <w:r w:rsidR="00813527" w:rsidRPr="00813527">
        <w:t xml:space="preserve"> </w:t>
      </w:r>
      <w:r w:rsidR="00813527">
        <w:t>each of which cast</w:t>
      </w:r>
      <w:r w:rsidR="005637F4">
        <w:t>s</w:t>
      </w:r>
      <w:r w:rsidR="00813527">
        <w:t xml:space="preserve"> the system in a somewhat different light</w:t>
      </w:r>
      <w:r w:rsidR="00175DEF">
        <w:t>.</w:t>
      </w:r>
    </w:p>
    <w:p w:rsidR="00745CBA" w:rsidRDefault="00745CBA" w:rsidP="007D31D2">
      <w:pPr>
        <w:spacing w:line="480" w:lineRule="auto"/>
      </w:pPr>
      <w:r>
        <w:t>***</w:t>
      </w:r>
    </w:p>
    <w:p w:rsidR="008A3A82" w:rsidRDefault="00D73AB0" w:rsidP="007D31D2">
      <w:pPr>
        <w:spacing w:line="480" w:lineRule="auto"/>
      </w:pPr>
      <w:r>
        <w:lastRenderedPageBreak/>
        <w:t>The</w:t>
      </w:r>
      <w:r w:rsidR="00CA377E">
        <w:t xml:space="preserve"> second </w:t>
      </w:r>
      <w:r w:rsidR="005637F4">
        <w:t>way to understand</w:t>
      </w:r>
      <w:r w:rsidR="00813527">
        <w:t xml:space="preserve"> </w:t>
      </w:r>
      <w:r w:rsidR="00280852">
        <w:t xml:space="preserve">the </w:t>
      </w:r>
      <w:r w:rsidR="00813527">
        <w:t xml:space="preserve">shadow banking system </w:t>
      </w:r>
      <w:r w:rsidR="00CA377E">
        <w:t>is</w:t>
      </w:r>
      <w:r w:rsidR="00813527">
        <w:t xml:space="preserve"> as a </w:t>
      </w:r>
      <w:r w:rsidR="00745CBA">
        <w:t>mechanism to tap</w:t>
      </w:r>
      <w:r w:rsidR="00813527">
        <w:t xml:space="preserve"> </w:t>
      </w:r>
      <w:r w:rsidR="00813527" w:rsidRPr="00813527">
        <w:rPr>
          <w:u w:val="single"/>
        </w:rPr>
        <w:t>global</w:t>
      </w:r>
      <w:r w:rsidR="00813527">
        <w:t xml:space="preserve"> dollar funding markets for </w:t>
      </w:r>
      <w:r w:rsidR="00813527" w:rsidRPr="00813527">
        <w:rPr>
          <w:u w:val="single"/>
        </w:rPr>
        <w:t>domestic</w:t>
      </w:r>
      <w:r w:rsidR="00813527">
        <w:t xml:space="preserve"> mortgage lending.   Put simply, </w:t>
      </w:r>
      <w:r w:rsidR="005637F4">
        <w:t>shadow banking</w:t>
      </w:r>
      <w:r w:rsidR="00813527">
        <w:t xml:space="preserve"> </w:t>
      </w:r>
      <w:r w:rsidR="0022339B">
        <w:t>can be understood a</w:t>
      </w:r>
      <w:r w:rsidR="00813527">
        <w:t xml:space="preserve">s nothing more than an adaptation of existing mechanisms </w:t>
      </w:r>
      <w:r w:rsidR="000007A4">
        <w:t>of</w:t>
      </w:r>
      <w:r w:rsidR="00813527">
        <w:t xml:space="preserve"> global cross-border banking to the funding needs of dollar borrowers</w:t>
      </w:r>
      <w:r>
        <w:t xml:space="preserve"> inside the United States</w:t>
      </w:r>
      <w:r w:rsidR="000007A4">
        <w:t>.</w:t>
      </w:r>
      <w:r w:rsidR="00B41B98">
        <w:t xml:space="preserve">  Dollar funding markets have long been the go-to source for those, such as the East Asian Tigers, looking to catch up, </w:t>
      </w:r>
      <w:r w:rsidR="00745CBA">
        <w:t>albeit</w:t>
      </w:r>
      <w:r w:rsidR="00B41B98">
        <w:t xml:space="preserve"> at the risk </w:t>
      </w:r>
      <w:r w:rsidR="005637F4">
        <w:t>of currency mismatch</w:t>
      </w:r>
      <w:r w:rsidR="00745CBA">
        <w:t>.</w:t>
      </w:r>
      <w:r w:rsidR="00F61E03">
        <w:rPr>
          <w:rStyle w:val="FootnoteReference"/>
        </w:rPr>
        <w:footnoteReference w:id="8"/>
      </w:r>
      <w:r w:rsidR="005637F4">
        <w:t xml:space="preserve"> </w:t>
      </w:r>
      <w:r w:rsidR="00745CBA">
        <w:t>S</w:t>
      </w:r>
      <w:r w:rsidR="003F6E3E">
        <w:t>hadow banking was just cross-border banking without the currency risk</w:t>
      </w:r>
      <w:r w:rsidR="000007A4">
        <w:t>.</w:t>
      </w:r>
      <w:r w:rsidR="000007A4">
        <w:rPr>
          <w:rStyle w:val="FootnoteReference"/>
        </w:rPr>
        <w:footnoteReference w:id="9"/>
      </w:r>
      <w:r w:rsidR="003F6E3E">
        <w:t xml:space="preserve">  </w:t>
      </w:r>
    </w:p>
    <w:p w:rsidR="006110CD" w:rsidRDefault="00745CBA" w:rsidP="007D31D2">
      <w:pPr>
        <w:spacing w:line="480" w:lineRule="auto"/>
      </w:pPr>
      <w:r>
        <w:t>On the supply of funds side, burgeoning demand for dollar deposits at global banks drove the search for new lending outlets.  On the demand for funds side, promotion of mortgage borrowing had long been a staple of U.S. government policy</w:t>
      </w:r>
      <w:r w:rsidR="00F5016F">
        <w:t>, and shadow banking was merely the next step</w:t>
      </w:r>
      <w:r>
        <w:t xml:space="preserve">.  </w:t>
      </w:r>
      <w:r w:rsidR="00131DE9">
        <w:t>Well</w:t>
      </w:r>
      <w:r w:rsidR="003F6E3E">
        <w:t xml:space="preserve"> before</w:t>
      </w:r>
      <w:r w:rsidR="00131DE9">
        <w:t xml:space="preserve"> the advent of</w:t>
      </w:r>
      <w:r w:rsidR="003F6E3E">
        <w:t xml:space="preserve"> shadow banking, </w:t>
      </w:r>
      <w:r w:rsidR="00B41B98">
        <w:t xml:space="preserve">Fannie Mae </w:t>
      </w:r>
      <w:r w:rsidR="003F6E3E">
        <w:t xml:space="preserve">had </w:t>
      </w:r>
      <w:r w:rsidR="00B41B98">
        <w:t>introduced</w:t>
      </w:r>
      <w:r w:rsidR="00D73AB0">
        <w:t xml:space="preserve"> and promoted</w:t>
      </w:r>
      <w:r w:rsidR="005E289F">
        <w:t xml:space="preserve"> mortgage</w:t>
      </w:r>
      <w:r w:rsidR="00B41B98">
        <w:t xml:space="preserve"> securitization as a way to </w:t>
      </w:r>
      <w:r w:rsidR="003F6E3E">
        <w:t xml:space="preserve">reduce reliance on volatile bank lending </w:t>
      </w:r>
      <w:r w:rsidR="00131DE9">
        <w:t>by</w:t>
      </w:r>
      <w:r w:rsidR="003F6E3E">
        <w:t xml:space="preserve"> </w:t>
      </w:r>
      <w:r w:rsidR="00B41B98">
        <w:t>tap</w:t>
      </w:r>
      <w:r w:rsidR="003F6E3E">
        <w:t>ping deep</w:t>
      </w:r>
      <w:r w:rsidR="00B41B98">
        <w:t xml:space="preserve"> </w:t>
      </w:r>
      <w:r w:rsidR="003F6E3E">
        <w:t xml:space="preserve">capital </w:t>
      </w:r>
      <w:r w:rsidR="003024F6">
        <w:t>markets for mortgage funding</w:t>
      </w:r>
      <w:r w:rsidR="002C5788">
        <w:t>.</w:t>
      </w:r>
      <w:r w:rsidR="00BA68AD">
        <w:rPr>
          <w:rStyle w:val="FootnoteReference"/>
        </w:rPr>
        <w:footnoteReference w:id="10"/>
      </w:r>
      <w:r w:rsidR="002C5788">
        <w:t xml:space="preserve">  </w:t>
      </w:r>
      <w:r>
        <w:t>S</w:t>
      </w:r>
      <w:r w:rsidR="002C5788">
        <w:t>hadow banking</w:t>
      </w:r>
      <w:r>
        <w:t xml:space="preserve"> merely went</w:t>
      </w:r>
      <w:r w:rsidR="005E289F">
        <w:t xml:space="preserve"> </w:t>
      </w:r>
      <w:r w:rsidR="0022339B">
        <w:t>one step fu</w:t>
      </w:r>
      <w:r w:rsidR="002C5788">
        <w:t>rther,</w:t>
      </w:r>
      <w:r w:rsidR="005E289F">
        <w:t xml:space="preserve"> </w:t>
      </w:r>
      <w:r w:rsidR="002C5788">
        <w:t xml:space="preserve">tapping the global </w:t>
      </w:r>
      <w:r w:rsidR="002C5788" w:rsidRPr="00F5016F">
        <w:rPr>
          <w:u w:val="single"/>
        </w:rPr>
        <w:t>money</w:t>
      </w:r>
      <w:r w:rsidR="002C5788">
        <w:t xml:space="preserve"> market as well</w:t>
      </w:r>
      <w:r w:rsidR="005E289F">
        <w:t xml:space="preserve"> as the global </w:t>
      </w:r>
      <w:r w:rsidR="005E289F" w:rsidRPr="00F5016F">
        <w:rPr>
          <w:u w:val="single"/>
        </w:rPr>
        <w:t>capital</w:t>
      </w:r>
      <w:r w:rsidR="005E289F">
        <w:t xml:space="preserve"> market</w:t>
      </w:r>
      <w:r w:rsidR="002C5788">
        <w:t>.</w:t>
      </w:r>
      <w:r>
        <w:t xml:space="preserve">  Private label mortgage-</w:t>
      </w:r>
      <w:r w:rsidR="00D73AB0">
        <w:t>backed securities could never hope to be as liquid as those supported by the market-making power of Fannie and Freddie</w:t>
      </w:r>
      <w:r w:rsidR="0022339B">
        <w:t>.  B</w:t>
      </w:r>
      <w:r>
        <w:t>ut b</w:t>
      </w:r>
      <w:r w:rsidR="00D73AB0">
        <w:t xml:space="preserve">y funding </w:t>
      </w:r>
      <w:r w:rsidR="0022339B">
        <w:t>these</w:t>
      </w:r>
      <w:r>
        <w:t xml:space="preserve"> illiquid</w:t>
      </w:r>
      <w:r w:rsidR="0022339B">
        <w:t xml:space="preserve"> securities </w:t>
      </w:r>
      <w:r w:rsidR="00D73AB0">
        <w:t>in global money markets</w:t>
      </w:r>
      <w:r w:rsidR="0022339B">
        <w:t xml:space="preserve">, </w:t>
      </w:r>
      <w:r>
        <w:t>their promoters were able to</w:t>
      </w:r>
      <w:r w:rsidR="00D73AB0">
        <w:t xml:space="preserve"> capture a liquidity premium</w:t>
      </w:r>
      <w:r w:rsidR="0022339B">
        <w:t xml:space="preserve"> as private profit</w:t>
      </w:r>
      <w:r w:rsidR="00D73AB0">
        <w:t>.</w:t>
      </w:r>
    </w:p>
    <w:p w:rsidR="003024F6" w:rsidRDefault="003024F6" w:rsidP="007D31D2">
      <w:pPr>
        <w:spacing w:line="480" w:lineRule="auto"/>
      </w:pPr>
      <w:r>
        <w:t>From this perspective, the Jimmy Stewart frame of the regulatory debate seems</w:t>
      </w:r>
      <w:r w:rsidR="0022339B">
        <w:t xml:space="preserve"> largely</w:t>
      </w:r>
      <w:r>
        <w:t xml:space="preserve"> beside the point.  The point is not whether the regulation that shadow banking was escaping was good or bad; in a sense shadow banking wa</w:t>
      </w:r>
      <w:r w:rsidR="0022339B">
        <w:t xml:space="preserve">s not escaping anything, </w:t>
      </w:r>
      <w:r>
        <w:t xml:space="preserve">just tapping a new source of funds.   Regulatory reform is </w:t>
      </w:r>
      <w:r>
        <w:lastRenderedPageBreak/>
        <w:t xml:space="preserve">presumably not going to shut down global dollar funding markets; it follows that it is not going to shut down shadow banking either.  </w:t>
      </w:r>
    </w:p>
    <w:p w:rsidR="002C5788" w:rsidRDefault="002C5788" w:rsidP="007D31D2">
      <w:pPr>
        <w:spacing w:line="480" w:lineRule="auto"/>
      </w:pPr>
      <w:r>
        <w:t>This global perspective on shadow banking is</w:t>
      </w:r>
      <w:r w:rsidR="003558FE">
        <w:t xml:space="preserve">, </w:t>
      </w:r>
      <w:r w:rsidR="00BA68AD">
        <w:t xml:space="preserve">not </w:t>
      </w:r>
      <w:r w:rsidR="003558FE">
        <w:t>incidentally,</w:t>
      </w:r>
      <w:r>
        <w:t xml:space="preserve"> crucial for understanding the global character of the crisis.  </w:t>
      </w:r>
      <w:r w:rsidR="003558FE">
        <w:t xml:space="preserve"> Why did incipient default on sub-prime mortgages, a relatively small fraction of the stock of outstanding mortgage debt, almost bring the whole system down?  The Jimmy Stewart analogy doesn’t help us to understand this at all</w:t>
      </w:r>
      <w:r w:rsidR="00E830BA">
        <w:t>; indeed that is why most economists missed the crisis</w:t>
      </w:r>
      <w:r w:rsidR="003558FE">
        <w:t xml:space="preserve">.  </w:t>
      </w:r>
      <w:r w:rsidR="00784D63">
        <w:t>But when we understand that this</w:t>
      </w:r>
      <w:r w:rsidR="003558FE">
        <w:t xml:space="preserve"> small sub-set of outstanding mortgage debt was funded in global money markets, unlike most of the rest of mortgage debt, w</w:t>
      </w:r>
      <w:r w:rsidR="00D73AB0">
        <w:t xml:space="preserve">e see the channel for </w:t>
      </w:r>
      <w:r w:rsidR="003558FE">
        <w:t xml:space="preserve">transmission to global cross-border banking, and </w:t>
      </w:r>
      <w:r w:rsidR="00D73AB0">
        <w:t xml:space="preserve">to </w:t>
      </w:r>
      <w:r w:rsidR="003558FE">
        <w:t xml:space="preserve">all of the other credits </w:t>
      </w:r>
      <w:r w:rsidR="00D73AB0">
        <w:t>that cross-border banking</w:t>
      </w:r>
      <w:r w:rsidR="003558FE">
        <w:t xml:space="preserve"> supports.  The crisis was global because the funding was global.</w:t>
      </w:r>
    </w:p>
    <w:p w:rsidR="003024F6" w:rsidRDefault="003024F6" w:rsidP="007D31D2">
      <w:pPr>
        <w:spacing w:line="480" w:lineRule="auto"/>
      </w:pPr>
      <w:r>
        <w:t>From this p</w:t>
      </w:r>
      <w:r w:rsidR="00D45C45">
        <w:t>erspective,</w:t>
      </w:r>
      <w:r>
        <w:t xml:space="preserve"> the</w:t>
      </w:r>
      <w:r w:rsidR="00E830BA">
        <w:t xml:space="preserve"> story of</w:t>
      </w:r>
      <w:r>
        <w:t xml:space="preserve"> shadow banking looks like </w:t>
      </w:r>
      <w:r w:rsidR="0022339B">
        <w:t>a version of our</w:t>
      </w:r>
      <w:r w:rsidR="00D45C45">
        <w:t xml:space="preserve"> </w:t>
      </w:r>
      <w:r>
        <w:t>familiar</w:t>
      </w:r>
      <w:r w:rsidR="0022339B">
        <w:t xml:space="preserve"> experience with</w:t>
      </w:r>
      <w:r>
        <w:t xml:space="preserve"> global credit boom and bust, which more usually </w:t>
      </w:r>
      <w:r w:rsidR="00D45C45">
        <w:t>involves</w:t>
      </w:r>
      <w:r>
        <w:t xml:space="preserve"> the periphery of the global system</w:t>
      </w:r>
      <w:r w:rsidR="00D45C45">
        <w:t xml:space="preserve"> rather than peripheral borrowers within the </w:t>
      </w:r>
      <w:r w:rsidR="0022339B">
        <w:t>center</w:t>
      </w:r>
      <w:r w:rsidR="00745CBA">
        <w:t xml:space="preserve"> of the system</w:t>
      </w:r>
      <w:r>
        <w:t xml:space="preserve">.  </w:t>
      </w:r>
      <w:r w:rsidR="00D45C45">
        <w:t>Notably, in response to the</w:t>
      </w:r>
      <w:r>
        <w:t xml:space="preserve"> crisis, t</w:t>
      </w:r>
      <w:r w:rsidR="00E830BA">
        <w:t>he IMF created its</w:t>
      </w:r>
      <w:r>
        <w:t xml:space="preserve"> new Flexible </w:t>
      </w:r>
      <w:r w:rsidR="0022339B">
        <w:t>Credit Line</w:t>
      </w:r>
      <w:r>
        <w:t xml:space="preserve"> as a way of protecting its members from the consequences of global funding market disruption</w:t>
      </w:r>
      <w:r w:rsidR="00D3255D">
        <w:t>.</w:t>
      </w:r>
      <w:r w:rsidR="00863A5E">
        <w:rPr>
          <w:rStyle w:val="FootnoteReference"/>
        </w:rPr>
        <w:footnoteReference w:id="11"/>
      </w:r>
      <w:r w:rsidR="00D3255D">
        <w:t xml:space="preserve">  This time</w:t>
      </w:r>
      <w:r w:rsidR="00D45C45">
        <w:t xml:space="preserve"> around however </w:t>
      </w:r>
      <w:r w:rsidR="00D3255D">
        <w:t xml:space="preserve">the disruption came from the center, and that is why the Fed was pressed into service as international lender of last resort, </w:t>
      </w:r>
      <w:r w:rsidR="00E830BA">
        <w:t xml:space="preserve">both </w:t>
      </w:r>
      <w:r w:rsidR="00D3255D">
        <w:t>directly</w:t>
      </w:r>
      <w:r w:rsidR="00D45C45">
        <w:t xml:space="preserve"> (T</w:t>
      </w:r>
      <w:r w:rsidR="00863A5E">
        <w:t>erm Auction Facility</w:t>
      </w:r>
      <w:r w:rsidR="00D45C45">
        <w:t>)</w:t>
      </w:r>
      <w:r w:rsidR="00D3255D">
        <w:t xml:space="preserve"> and indirectly</w:t>
      </w:r>
      <w:r w:rsidR="00D45C45">
        <w:t xml:space="preserve"> (liquidity swaps)</w:t>
      </w:r>
      <w:r w:rsidR="00D3255D">
        <w:t xml:space="preserve"> to the global cross-border banking system.</w:t>
      </w:r>
    </w:p>
    <w:p w:rsidR="000232E3" w:rsidRDefault="000232E3" w:rsidP="007D31D2">
      <w:pPr>
        <w:spacing w:line="480" w:lineRule="auto"/>
      </w:pPr>
      <w:r>
        <w:t xml:space="preserve">But </w:t>
      </w:r>
      <w:r w:rsidR="005637F4">
        <w:t xml:space="preserve">even </w:t>
      </w:r>
      <w:r>
        <w:t>this</w:t>
      </w:r>
      <w:r w:rsidR="005637F4">
        <w:t xml:space="preserve"> second</w:t>
      </w:r>
      <w:r>
        <w:t xml:space="preserve"> frame is too narrow, because it takes the funding source as given.  The deeper question is why there</w:t>
      </w:r>
      <w:r w:rsidR="00B21207">
        <w:t xml:space="preserve"> was so much available funding.</w:t>
      </w:r>
      <w:r w:rsidR="00724295">
        <w:t xml:space="preserve">   The literature </w:t>
      </w:r>
      <w:r w:rsidR="00D45C45">
        <w:t>focuses on</w:t>
      </w:r>
      <w:r w:rsidR="00724295">
        <w:t xml:space="preserve"> </w:t>
      </w:r>
      <w:r w:rsidR="00D45C45">
        <w:t>several</w:t>
      </w:r>
      <w:r w:rsidR="00863A5E">
        <w:t xml:space="preserve"> possible reasons</w:t>
      </w:r>
      <w:r w:rsidR="00724295">
        <w:t>:  e</w:t>
      </w:r>
      <w:r>
        <w:t>xcess saving by China</w:t>
      </w:r>
      <w:r w:rsidR="00724295">
        <w:t xml:space="preserve">, </w:t>
      </w:r>
      <w:r w:rsidR="00D45C45">
        <w:t xml:space="preserve">dollar </w:t>
      </w:r>
      <w:r w:rsidR="00724295">
        <w:t>reserve accumulation</w:t>
      </w:r>
      <w:r w:rsidR="00CA377E">
        <w:t xml:space="preserve"> in the aftermath of the Asian</w:t>
      </w:r>
      <w:r w:rsidR="00656B37">
        <w:t xml:space="preserve"> Financial Crisis, </w:t>
      </w:r>
      <w:r w:rsidR="00724295">
        <w:t xml:space="preserve">and expansionary </w:t>
      </w:r>
      <w:r w:rsidR="00707800">
        <w:t>U.S. monetary policy</w:t>
      </w:r>
      <w:r w:rsidR="00724295">
        <w:t xml:space="preserve">.  Probably each of these played some role in pumping up </w:t>
      </w:r>
      <w:r w:rsidR="00724295">
        <w:lastRenderedPageBreak/>
        <w:t>the global credit bubble, but for present purposes I’d like to focus on a source that has received much less attention.</w:t>
      </w:r>
    </w:p>
    <w:p w:rsidR="00745CBA" w:rsidRDefault="00745CBA" w:rsidP="007D31D2">
      <w:pPr>
        <w:spacing w:line="480" w:lineRule="auto"/>
      </w:pPr>
      <w:r>
        <w:t>***</w:t>
      </w:r>
    </w:p>
    <w:p w:rsidR="00781C3D" w:rsidRDefault="00CA377E" w:rsidP="007D31D2">
      <w:pPr>
        <w:spacing w:line="480" w:lineRule="auto"/>
      </w:pPr>
      <w:r>
        <w:t xml:space="preserve">The third </w:t>
      </w:r>
      <w:r w:rsidR="00E830BA">
        <w:t>way to understand</w:t>
      </w:r>
      <w:r w:rsidR="00D45C45">
        <w:t xml:space="preserve"> </w:t>
      </w:r>
      <w:r w:rsidR="00E830BA">
        <w:t xml:space="preserve">the </w:t>
      </w:r>
      <w:r>
        <w:t>shadow ban</w:t>
      </w:r>
      <w:r w:rsidR="00781C3D">
        <w:t>king</w:t>
      </w:r>
      <w:r w:rsidR="00E830BA">
        <w:t xml:space="preserve"> system</w:t>
      </w:r>
      <w:r w:rsidR="00656B37">
        <w:t xml:space="preserve"> is </w:t>
      </w:r>
      <w:r w:rsidR="00724295">
        <w:t xml:space="preserve">as </w:t>
      </w:r>
      <w:r w:rsidR="00656B37">
        <w:t xml:space="preserve">the </w:t>
      </w:r>
      <w:r w:rsidR="00E830BA">
        <w:t>natural counterpart of the emerging system of</w:t>
      </w:r>
      <w:r w:rsidR="00707800">
        <w:t xml:space="preserve"> global portfolio management</w:t>
      </w:r>
      <w:r w:rsidR="00745CBA">
        <w:t>, in effect a consequence of the revolution in modern finance</w:t>
      </w:r>
      <w:r w:rsidR="00707800">
        <w:t>.</w:t>
      </w:r>
      <w:r w:rsidR="00707800">
        <w:rPr>
          <w:rStyle w:val="FootnoteReference"/>
        </w:rPr>
        <w:footnoteReference w:id="12"/>
      </w:r>
      <w:r>
        <w:t xml:space="preserve"> </w:t>
      </w:r>
      <w:r w:rsidR="00781C3D">
        <w:t xml:space="preserve"> In traditional</w:t>
      </w:r>
      <w:r w:rsidR="00D45C45">
        <w:t xml:space="preserve"> asset management, if you want</w:t>
      </w:r>
      <w:r w:rsidR="00781C3D">
        <w:t xml:space="preserve"> exposure to a certain risk class then</w:t>
      </w:r>
      <w:r w:rsidR="00D45C45">
        <w:t xml:space="preserve"> you buy </w:t>
      </w:r>
      <w:r w:rsidR="0058696F">
        <w:t xml:space="preserve">risky </w:t>
      </w:r>
      <w:r w:rsidR="00D45C45">
        <w:t>assets that gi</w:t>
      </w:r>
      <w:r w:rsidR="00781C3D">
        <w:t xml:space="preserve">ve you that exposure.  In modern asset management, the same exposure can be (and </w:t>
      </w:r>
      <w:r w:rsidR="005637F4">
        <w:t xml:space="preserve">in practice </w:t>
      </w:r>
      <w:r w:rsidR="00781C3D">
        <w:t xml:space="preserve">increasingly is) achieved by using derivatives of one kind or another, combined with holding a </w:t>
      </w:r>
      <w:proofErr w:type="spellStart"/>
      <w:r w:rsidR="00781C3D">
        <w:t>riskfree</w:t>
      </w:r>
      <w:proofErr w:type="spellEnd"/>
      <w:r w:rsidR="00781C3D">
        <w:t xml:space="preserve"> cash asset.   </w:t>
      </w:r>
      <w:r w:rsidR="00D45C45">
        <w:t>T</w:t>
      </w:r>
      <w:r w:rsidR="007D02D3">
        <w:t>his</w:t>
      </w:r>
      <w:r w:rsidR="00781C3D">
        <w:t xml:space="preserve"> </w:t>
      </w:r>
      <w:r w:rsidR="00D45C45">
        <w:t xml:space="preserve">is a source of </w:t>
      </w:r>
      <w:r w:rsidR="00781C3D">
        <w:t>demand for cash assets that is simply not present in traditi</w:t>
      </w:r>
      <w:r w:rsidR="00745CBA">
        <w:t>onal asset management, much less in traditional monetary t</w:t>
      </w:r>
      <w:r w:rsidR="00F5016F">
        <w:t xml:space="preserve">heory </w:t>
      </w:r>
      <w:r w:rsidR="00745CBA">
        <w:t>which focuses on transa</w:t>
      </w:r>
      <w:r w:rsidR="00F5016F">
        <w:t>ctions and precautionary demand</w:t>
      </w:r>
      <w:r w:rsidR="00D45C45">
        <w:t>.  S</w:t>
      </w:r>
      <w:r w:rsidR="00781C3D">
        <w:t xml:space="preserve">hadow banking </w:t>
      </w:r>
      <w:r w:rsidR="007D02D3">
        <w:t xml:space="preserve">can be viewed as a new supply of cash assets, outside the existing deposit banking </w:t>
      </w:r>
      <w:proofErr w:type="gramStart"/>
      <w:r w:rsidR="007D02D3">
        <w:t xml:space="preserve">framework, </w:t>
      </w:r>
      <w:r w:rsidR="00F5016F">
        <w:t>that</w:t>
      </w:r>
      <w:proofErr w:type="gramEnd"/>
      <w:r w:rsidR="00F5016F">
        <w:t xml:space="preserve"> arose </w:t>
      </w:r>
      <w:r w:rsidR="007D02D3">
        <w:t>to meet that new demand</w:t>
      </w:r>
      <w:r w:rsidR="00745CBA">
        <w:t xml:space="preserve"> for money</w:t>
      </w:r>
      <w:r w:rsidR="007D02D3">
        <w:t>.</w:t>
      </w:r>
    </w:p>
    <w:p w:rsidR="0083335E" w:rsidRDefault="00F5016F" w:rsidP="007D31D2">
      <w:pPr>
        <w:spacing w:line="480" w:lineRule="auto"/>
      </w:pPr>
      <w:r>
        <w:t xml:space="preserve">In this regard, </w:t>
      </w:r>
      <w:r w:rsidR="00CA377E">
        <w:t>Figure 2</w:t>
      </w:r>
      <w:r w:rsidR="00781C3D">
        <w:t xml:space="preserve"> is a stylized picture not so much of what shadow banking actually </w:t>
      </w:r>
      <w:r w:rsidR="00D45C45">
        <w:t>looked like, but rather</w:t>
      </w:r>
      <w:r w:rsidR="00745CBA">
        <w:t xml:space="preserve"> of</w:t>
      </w:r>
      <w:r w:rsidR="00D45C45">
        <w:t xml:space="preserve"> what it</w:t>
      </w:r>
      <w:r w:rsidR="00781C3D">
        <w:t xml:space="preserve"> might look like in</w:t>
      </w:r>
      <w:r w:rsidR="00D45C45">
        <w:t xml:space="preserve"> the</w:t>
      </w:r>
      <w:r w:rsidR="00781C3D">
        <w:t xml:space="preserve"> future.  </w:t>
      </w:r>
      <w:r w:rsidR="00EE0B75">
        <w:t xml:space="preserve"> Instead of all the complicated </w:t>
      </w:r>
      <w:proofErr w:type="spellStart"/>
      <w:r w:rsidR="00EE0B75">
        <w:t>tranching</w:t>
      </w:r>
      <w:proofErr w:type="spellEnd"/>
      <w:r w:rsidR="00EE0B75">
        <w:t xml:space="preserve"> </w:t>
      </w:r>
      <w:r w:rsidR="0083335E">
        <w:t>of the actual shadow banking system</w:t>
      </w:r>
      <w:r w:rsidR="00863A5E">
        <w:t>, which served</w:t>
      </w:r>
      <w:r w:rsidR="00EE0B75">
        <w:t xml:space="preserve"> </w:t>
      </w:r>
      <w:r w:rsidR="00E830BA">
        <w:t xml:space="preserve">to </w:t>
      </w:r>
      <w:r w:rsidR="00EE0B75">
        <w:t xml:space="preserve">strip risk out of the underlying mortgage loans, </w:t>
      </w:r>
      <w:r w:rsidR="0083335E">
        <w:t xml:space="preserve">I’m </w:t>
      </w:r>
      <w:r w:rsidR="00EE0B75">
        <w:t>imagin</w:t>
      </w:r>
      <w:r w:rsidR="0083335E">
        <w:t>ing</w:t>
      </w:r>
      <w:r w:rsidR="00EE0B75">
        <w:t xml:space="preserve"> a version of shadow banking in which </w:t>
      </w:r>
      <w:r w:rsidR="00314E50">
        <w:t xml:space="preserve">all the risk-stripping </w:t>
      </w:r>
      <w:r w:rsidR="00EE0B75">
        <w:t xml:space="preserve">is done </w:t>
      </w:r>
      <w:r w:rsidR="00E830BA">
        <w:t>using</w:t>
      </w:r>
      <w:r w:rsidR="00EE0B75">
        <w:t xml:space="preserve"> </w:t>
      </w:r>
      <w:r w:rsidR="00656B37">
        <w:t xml:space="preserve">simple </w:t>
      </w:r>
      <w:r w:rsidR="00EE0B75">
        <w:t xml:space="preserve">derivatives, </w:t>
      </w:r>
      <w:r w:rsidR="00E830BA">
        <w:t>in fact using</w:t>
      </w:r>
      <w:r w:rsidR="0083335E">
        <w:t xml:space="preserve"> the very same </w:t>
      </w:r>
      <w:r w:rsidR="00E830BA">
        <w:t>derivatives that the Asset M</w:t>
      </w:r>
      <w:r w:rsidR="00863A5E">
        <w:t>anager is using to achieve his</w:t>
      </w:r>
      <w:r w:rsidR="00E830BA">
        <w:t xml:space="preserve"> desired risk exposure.  The Shadow Bank is th</w:t>
      </w:r>
      <w:r w:rsidR="00863A5E">
        <w:t>us th</w:t>
      </w:r>
      <w:r w:rsidR="00E830BA">
        <w:t>e mirror image of the Asset M</w:t>
      </w:r>
      <w:r w:rsidR="0083335E">
        <w:t xml:space="preserve">anager not </w:t>
      </w:r>
      <w:r w:rsidR="00863A5E">
        <w:t>only</w:t>
      </w:r>
      <w:r w:rsidR="0083335E">
        <w:t xml:space="preserve"> in terms of funding but also in terms of risk.  Shadow Bank liabilities match </w:t>
      </w:r>
      <w:r w:rsidR="00E830BA">
        <w:t xml:space="preserve">Asset Manager </w:t>
      </w:r>
      <w:proofErr w:type="gramStart"/>
      <w:r w:rsidR="00E830BA">
        <w:t>assets</w:t>
      </w:r>
      <w:proofErr w:type="gramEnd"/>
      <w:r w:rsidR="00E830BA">
        <w:t>, and Asset Manager</w:t>
      </w:r>
      <w:r w:rsidR="007D02D3">
        <w:t xml:space="preserve"> liab</w:t>
      </w:r>
      <w:r w:rsidR="0083335E">
        <w:t>ilities (derivatives) match Shadow B</w:t>
      </w:r>
      <w:r w:rsidR="007D02D3">
        <w:t xml:space="preserve">ank assets.  </w:t>
      </w:r>
    </w:p>
    <w:p w:rsidR="00F5016F" w:rsidRDefault="00F5016F" w:rsidP="007D31D2">
      <w:pPr>
        <w:spacing w:line="480" w:lineRule="auto"/>
      </w:pPr>
      <w:r>
        <w:t>[Insert Figure 2 about here]</w:t>
      </w:r>
    </w:p>
    <w:p w:rsidR="0058696F" w:rsidRDefault="00E830BA" w:rsidP="007D31D2">
      <w:pPr>
        <w:spacing w:line="480" w:lineRule="auto"/>
      </w:pPr>
      <w:proofErr w:type="gramStart"/>
      <w:r>
        <w:lastRenderedPageBreak/>
        <w:t>From this point of view,</w:t>
      </w:r>
      <w:r w:rsidR="00863A5E">
        <w:t xml:space="preserve"> </w:t>
      </w:r>
      <w:r w:rsidR="00EE0B75">
        <w:t xml:space="preserve">two </w:t>
      </w:r>
      <w:r>
        <w:t>kinds of financial intermediary look to</w:t>
      </w:r>
      <w:r w:rsidR="00863A5E">
        <w:t xml:space="preserve"> be</w:t>
      </w:r>
      <w:r>
        <w:t xml:space="preserve"> crucial to the op</w:t>
      </w:r>
      <w:r w:rsidR="00863A5E">
        <w:t>eration of the system</w:t>
      </w:r>
      <w:r>
        <w:t>.</w:t>
      </w:r>
      <w:proofErr w:type="gramEnd"/>
      <w:r>
        <w:t xml:space="preserve">  </w:t>
      </w:r>
      <w:r w:rsidR="00C245AA">
        <w:t>First is</w:t>
      </w:r>
      <w:r w:rsidR="00EE0B75">
        <w:t xml:space="preserve"> global cross-border banking that takes care of the funding</w:t>
      </w:r>
      <w:r w:rsidR="00656B37">
        <w:t xml:space="preserve"> transfer</w:t>
      </w:r>
      <w:r w:rsidR="00C245AA">
        <w:t xml:space="preserve">; </w:t>
      </w:r>
      <w:r w:rsidR="00EE0B75">
        <w:t>we have already discussed th</w:t>
      </w:r>
      <w:r w:rsidR="0083335E">
        <w:t>is dimension</w:t>
      </w:r>
      <w:r w:rsidR="00EE0B75">
        <w:t xml:space="preserve"> above</w:t>
      </w:r>
      <w:r w:rsidR="007D02D3">
        <w:t xml:space="preserve"> as the second face of shadow banking</w:t>
      </w:r>
      <w:r w:rsidR="00EE0B75">
        <w:t xml:space="preserve">.  </w:t>
      </w:r>
      <w:r w:rsidR="007D02D3">
        <w:t>Second</w:t>
      </w:r>
      <w:r w:rsidR="00863A5E">
        <w:t>, and this dimension</w:t>
      </w:r>
      <w:r>
        <w:t xml:space="preserve"> is new, is the derivat</w:t>
      </w:r>
      <w:r w:rsidR="00EE0B75">
        <w:t>ive dealer</w:t>
      </w:r>
      <w:r w:rsidR="00F67FBA">
        <w:t xml:space="preserve"> </w:t>
      </w:r>
      <w:r w:rsidR="00863A5E">
        <w:t>that takes care of the</w:t>
      </w:r>
      <w:r w:rsidR="00F67FBA">
        <w:t xml:space="preserve"> </w:t>
      </w:r>
      <w:r w:rsidR="00C245AA">
        <w:t>risk transfer by</w:t>
      </w:r>
      <w:r w:rsidR="00745CBA">
        <w:t xml:space="preserve"> intermediating between</w:t>
      </w:r>
      <w:r>
        <w:t xml:space="preserve"> the Shadow B</w:t>
      </w:r>
      <w:r w:rsidR="00EE0B75">
        <w:t>ank</w:t>
      </w:r>
      <w:r w:rsidR="00C245AA">
        <w:t xml:space="preserve"> and the </w:t>
      </w:r>
      <w:r>
        <w:t>Asset Manager</w:t>
      </w:r>
      <w:r w:rsidR="00745CBA">
        <w:t>, serving as the derivative counterparty for both</w:t>
      </w:r>
      <w:r w:rsidR="00C245AA">
        <w:t>.</w:t>
      </w:r>
      <w:r w:rsidR="0058696F">
        <w:t xml:space="preserve">  </w:t>
      </w:r>
      <w:r w:rsidR="00745CBA">
        <w:t>Note that</w:t>
      </w:r>
      <w:r w:rsidR="00F5016F">
        <w:t>, for simplicity, I abstract from the position-taking of dealers, and</w:t>
      </w:r>
      <w:r w:rsidR="0083335E">
        <w:t xml:space="preserve"> show the balance sheet of the derivative dealer as so-called “matched book”</w:t>
      </w:r>
      <w:r w:rsidR="00F5016F">
        <w:t>.  E</w:t>
      </w:r>
      <w:r w:rsidR="0083335E">
        <w:t>ach short position (</w:t>
      </w:r>
      <w:r>
        <w:t xml:space="preserve">contingent </w:t>
      </w:r>
      <w:r w:rsidR="0083335E">
        <w:t>liability) is matched with an equal and opposite long position (</w:t>
      </w:r>
      <w:r>
        <w:t xml:space="preserve">contingent </w:t>
      </w:r>
      <w:r w:rsidR="0083335E">
        <w:t>asset).</w:t>
      </w:r>
      <w:r w:rsidR="00863A5E">
        <w:rPr>
          <w:rStyle w:val="FootnoteReference"/>
        </w:rPr>
        <w:footnoteReference w:id="13"/>
      </w:r>
      <w:r w:rsidR="0083335E">
        <w:t xml:space="preserve">  </w:t>
      </w:r>
    </w:p>
    <w:p w:rsidR="00A010ED" w:rsidRDefault="0058696F" w:rsidP="007D31D2">
      <w:pPr>
        <w:spacing w:line="480" w:lineRule="auto"/>
      </w:pPr>
      <w:r>
        <w:t xml:space="preserve">This way of thinking about </w:t>
      </w:r>
      <w:r w:rsidR="00E830BA">
        <w:t xml:space="preserve">the </w:t>
      </w:r>
      <w:r>
        <w:t>shadow banking</w:t>
      </w:r>
      <w:r w:rsidR="00E830BA">
        <w:t xml:space="preserve"> system</w:t>
      </w:r>
      <w:r>
        <w:t xml:space="preserve"> </w:t>
      </w:r>
      <w:r w:rsidR="00E830BA">
        <w:t>provides</w:t>
      </w:r>
      <w:r>
        <w:t xml:space="preserve"> yet another perspective</w:t>
      </w:r>
      <w:r w:rsidR="00E830BA">
        <w:t xml:space="preserve"> on the crisis</w:t>
      </w:r>
      <w:r>
        <w:t>.  The actual shadow banking system</w:t>
      </w:r>
      <w:r w:rsidR="00863A5E">
        <w:t>, as</w:t>
      </w:r>
      <w:r>
        <w:t xml:space="preserve"> pictured in Figure 1</w:t>
      </w:r>
      <w:r w:rsidR="00863A5E">
        <w:t>,</w:t>
      </w:r>
      <w:r>
        <w:t xml:space="preserve"> is</w:t>
      </w:r>
      <w:r w:rsidR="00863A5E">
        <w:t xml:space="preserve"> clearly</w:t>
      </w:r>
      <w:r w:rsidR="00A010ED">
        <w:t xml:space="preserve"> a lot more complicated than</w:t>
      </w:r>
      <w:r>
        <w:t xml:space="preserve"> the idealized version in Figure 2.  </w:t>
      </w:r>
      <w:r w:rsidR="00863A5E">
        <w:t xml:space="preserve">From this point of view, </w:t>
      </w:r>
      <w:r>
        <w:t>we can understand the financial crisis as</w:t>
      </w:r>
      <w:r w:rsidR="00714B5E">
        <w:t xml:space="preserve"> nothing more than</w:t>
      </w:r>
      <w:r>
        <w:t xml:space="preserve"> the grow</w:t>
      </w:r>
      <w:r w:rsidR="00714B5E">
        <w:t>ing</w:t>
      </w:r>
      <w:r>
        <w:t xml:space="preserve"> pains of </w:t>
      </w:r>
      <w:r w:rsidR="00714B5E">
        <w:t>an</w:t>
      </w:r>
      <w:r>
        <w:t xml:space="preserve"> emergin</w:t>
      </w:r>
      <w:r w:rsidR="00714B5E">
        <w:t>g adult shadow banking system.</w:t>
      </w:r>
      <w:r w:rsidR="00863A5E" w:rsidRPr="00863A5E">
        <w:t xml:space="preserve"> </w:t>
      </w:r>
      <w:r w:rsidR="00863A5E">
        <w:t xml:space="preserve"> The problem was that the new shadow banking system had to grow on the foundation of what was already there.   The fund transfer side of the system was very much ready but the risk transfer side was not, and is not.  </w:t>
      </w:r>
    </w:p>
    <w:p w:rsidR="006054E0" w:rsidRDefault="00A010ED" w:rsidP="006054E0">
      <w:pPr>
        <w:spacing w:line="480" w:lineRule="auto"/>
      </w:pPr>
      <w:r>
        <w:t xml:space="preserve">In Figure 1, the predominant mechanism for risk transfer is </w:t>
      </w:r>
      <w:proofErr w:type="spellStart"/>
      <w:r>
        <w:t>tranching</w:t>
      </w:r>
      <w:proofErr w:type="spellEnd"/>
      <w:r>
        <w:t xml:space="preserve">; financial derivatives such as CDS enter only as the ultimate capital buffer once the first lines of defense (the Lo and </w:t>
      </w:r>
      <w:proofErr w:type="gramStart"/>
      <w:r>
        <w:t>Mid</w:t>
      </w:r>
      <w:proofErr w:type="gramEnd"/>
      <w:r>
        <w:t xml:space="preserve"> tranches) have been breached.</w:t>
      </w:r>
      <w:r w:rsidR="00DB444B" w:rsidRPr="00DB444B">
        <w:rPr>
          <w:rStyle w:val="FootnoteReference"/>
        </w:rPr>
        <w:t xml:space="preserve"> </w:t>
      </w:r>
      <w:r w:rsidR="00DB444B">
        <w:rPr>
          <w:rStyle w:val="FootnoteReference"/>
        </w:rPr>
        <w:footnoteReference w:id="14"/>
      </w:r>
      <w:r>
        <w:t xml:space="preserve">  In Figure 2, by contrast, </w:t>
      </w:r>
      <w:proofErr w:type="spellStart"/>
      <w:r>
        <w:t>tranching</w:t>
      </w:r>
      <w:proofErr w:type="spellEnd"/>
      <w:r>
        <w:t xml:space="preserve"> is gone, and derivatives are the predominant mechanism for risk transfer.</w:t>
      </w:r>
      <w:r w:rsidR="00DB444B">
        <w:t xml:space="preserve">   </w:t>
      </w:r>
      <w:r w:rsidR="00F5016F">
        <w:t>Similarly</w:t>
      </w:r>
      <w:r w:rsidR="00DB444B">
        <w:t>, in Figure 1 the predominant mechanism for liquidity backstop is reliance on MMMF and repo dealers (not shown) and an explicit liquidity put enters only as a last resort. In Figure 2, by contrast, explicit liquidity puts are the predominant mechanism for liquidity backstop, both for the global funding system (funding liquidity) and for the derivative dealers (market liquidity).</w:t>
      </w:r>
      <w:r w:rsidR="00F5016F">
        <w:rPr>
          <w:rStyle w:val="FootnoteReference"/>
        </w:rPr>
        <w:footnoteReference w:id="15"/>
      </w:r>
      <w:r w:rsidR="00941723">
        <w:t xml:space="preserve">  </w:t>
      </w:r>
      <w:r w:rsidR="00941723">
        <w:lastRenderedPageBreak/>
        <w:t>My argument, in a nutshell, is that the financial crisis needs to be understood as part of a l</w:t>
      </w:r>
      <w:r w:rsidR="00CC6301">
        <w:t>onger term evolution that is moving us in the direction of Figure 2.</w:t>
      </w:r>
      <w:r w:rsidR="00863A5E">
        <w:rPr>
          <w:rStyle w:val="FootnoteReference"/>
        </w:rPr>
        <w:footnoteReference w:id="16"/>
      </w:r>
      <w:r w:rsidR="00863A5E">
        <w:t xml:space="preserve">  </w:t>
      </w:r>
    </w:p>
    <w:p w:rsidR="006054E0" w:rsidRDefault="006054E0" w:rsidP="006054E0">
      <w:pPr>
        <w:spacing w:line="480" w:lineRule="auto"/>
      </w:pPr>
    </w:p>
    <w:p w:rsidR="00714B5E" w:rsidRPr="006054E0" w:rsidRDefault="006054E0" w:rsidP="006054E0">
      <w:pPr>
        <w:spacing w:line="480" w:lineRule="auto"/>
      </w:pPr>
      <w:r>
        <w:t>II</w:t>
      </w:r>
      <w:proofErr w:type="gramStart"/>
      <w:r>
        <w:t xml:space="preserve">.  </w:t>
      </w:r>
      <w:r w:rsidR="00714B5E" w:rsidRPr="006054E0">
        <w:rPr>
          <w:b/>
        </w:rPr>
        <w:t>The</w:t>
      </w:r>
      <w:proofErr w:type="gramEnd"/>
      <w:r w:rsidR="00714B5E" w:rsidRPr="006054E0">
        <w:rPr>
          <w:b/>
        </w:rPr>
        <w:t xml:space="preserve"> Financial Crisis a</w:t>
      </w:r>
      <w:r w:rsidR="00863A5E" w:rsidRPr="006054E0">
        <w:rPr>
          <w:b/>
        </w:rPr>
        <w:t>nd Financial Globalization</w:t>
      </w:r>
      <w:r w:rsidR="0058696F" w:rsidRPr="006054E0">
        <w:rPr>
          <w:b/>
        </w:rPr>
        <w:t xml:space="preserve">  </w:t>
      </w:r>
    </w:p>
    <w:p w:rsidR="00D03EAA" w:rsidRDefault="00863A5E" w:rsidP="007D31D2">
      <w:pPr>
        <w:spacing w:line="480" w:lineRule="auto"/>
      </w:pPr>
      <w:r>
        <w:t>T</w:t>
      </w:r>
      <w:r w:rsidR="007E02A1">
        <w:t xml:space="preserve">ake it as given that there was an excess supply of funds seeking </w:t>
      </w:r>
      <w:proofErr w:type="spellStart"/>
      <w:r w:rsidR="007E02A1">
        <w:t>riskfree</w:t>
      </w:r>
      <w:proofErr w:type="spellEnd"/>
      <w:r w:rsidR="007E02A1">
        <w:t xml:space="preserve"> deposit-like but deposit-alternative assets</w:t>
      </w:r>
      <w:r w:rsidR="00900A56">
        <w:t>, and that</w:t>
      </w:r>
      <w:r w:rsidR="007E02A1">
        <w:t xml:space="preserve"> the shadow banking system developed as an attempt to provide the assets those funds were seeking.  The poi</w:t>
      </w:r>
      <w:r w:rsidR="00900A56">
        <w:t>nt to emphasize is that there was</w:t>
      </w:r>
      <w:r w:rsidR="007E02A1">
        <w:t xml:space="preserve"> </w:t>
      </w:r>
      <w:r w:rsidR="00D03EAA">
        <w:t xml:space="preserve">plenty of </w:t>
      </w:r>
      <w:r w:rsidR="007E02A1">
        <w:t>demand for the liabilities of the s</w:t>
      </w:r>
      <w:r w:rsidR="00D03EAA">
        <w:t>hadow banks</w:t>
      </w:r>
      <w:r w:rsidR="007E02A1">
        <w:t xml:space="preserve"> but that</w:t>
      </w:r>
      <w:r w:rsidR="00D03EAA">
        <w:t xml:space="preserve">, given the </w:t>
      </w:r>
      <w:r>
        <w:t xml:space="preserve">existing institutional </w:t>
      </w:r>
      <w:r w:rsidR="00D03EAA">
        <w:t>organization of the system,</w:t>
      </w:r>
      <w:r w:rsidR="007E02A1">
        <w:t xml:space="preserve"> </w:t>
      </w:r>
      <w:r w:rsidR="00D03EAA">
        <w:rPr>
          <w:u w:val="single"/>
        </w:rPr>
        <w:t>those liabilities we</w:t>
      </w:r>
      <w:r w:rsidR="007E02A1" w:rsidRPr="00D03EAA">
        <w:rPr>
          <w:u w:val="single"/>
        </w:rPr>
        <w:t>re a joint product</w:t>
      </w:r>
      <w:r>
        <w:rPr>
          <w:u w:val="single"/>
        </w:rPr>
        <w:t>,</w:t>
      </w:r>
      <w:r w:rsidR="007E02A1" w:rsidRPr="00D03EAA">
        <w:rPr>
          <w:u w:val="single"/>
        </w:rPr>
        <w:t xml:space="preserve"> and there </w:t>
      </w:r>
      <w:r w:rsidR="00900A56" w:rsidRPr="00D03EAA">
        <w:rPr>
          <w:u w:val="single"/>
        </w:rPr>
        <w:t>was not</w:t>
      </w:r>
      <w:r w:rsidR="00D03EAA">
        <w:rPr>
          <w:u w:val="single"/>
        </w:rPr>
        <w:t xml:space="preserve"> necessarily plenty of </w:t>
      </w:r>
      <w:r w:rsidR="007E02A1" w:rsidRPr="00D03EAA">
        <w:rPr>
          <w:u w:val="single"/>
        </w:rPr>
        <w:t>demand for the other products</w:t>
      </w:r>
      <w:r w:rsidR="007E02A1">
        <w:t xml:space="preserve">.  Specifically, the literature is clear that </w:t>
      </w:r>
      <w:r w:rsidR="00D03EAA">
        <w:t>placement of the Lo T</w:t>
      </w:r>
      <w:r w:rsidR="007E02A1">
        <w:t>ranche</w:t>
      </w:r>
      <w:r w:rsidR="00900A56">
        <w:t xml:space="preserve"> was </w:t>
      </w:r>
      <w:r>
        <w:t>a persistent</w:t>
      </w:r>
      <w:r w:rsidR="00900A56">
        <w:t xml:space="preserve"> bottleneck</w:t>
      </w:r>
      <w:r w:rsidR="007E02A1">
        <w:t xml:space="preserve">.  </w:t>
      </w:r>
    </w:p>
    <w:p w:rsidR="007E02A1" w:rsidRDefault="007E02A1" w:rsidP="007D31D2">
      <w:pPr>
        <w:spacing w:line="480" w:lineRule="auto"/>
      </w:pPr>
      <w:r>
        <w:t xml:space="preserve">In Figure 1, I show the Lo Tranche being happily held by a credit hedge fund, </w:t>
      </w:r>
      <w:r w:rsidR="00863A5E">
        <w:t xml:space="preserve">which is </w:t>
      </w:r>
      <w:r>
        <w:t xml:space="preserve">funded by risk-loving client capital and </w:t>
      </w:r>
      <w:r w:rsidR="00863A5E">
        <w:t xml:space="preserve">an </w:t>
      </w:r>
      <w:r>
        <w:t xml:space="preserve">accommodating prime broker.   Maybe that is the way the system started, but the demand for product quite soon overwhelmed the risk-bearing capacity of even the most risk-loving part of our financial system.  </w:t>
      </w:r>
      <w:r w:rsidR="00F5016F">
        <w:t xml:space="preserve">But </w:t>
      </w:r>
      <w:r w:rsidR="006054E0">
        <w:t>t</w:t>
      </w:r>
      <w:r>
        <w:t xml:space="preserve">he world wanted </w:t>
      </w:r>
      <w:proofErr w:type="spellStart"/>
      <w:r>
        <w:t>riskfree</w:t>
      </w:r>
      <w:proofErr w:type="spellEnd"/>
      <w:r>
        <w:t xml:space="preserve"> deposit alternatives, and there was a lot of money to be made by providing them, so hedge funds had to be p</w:t>
      </w:r>
      <w:r w:rsidR="006054E0">
        <w:t>ersuaded to do their part.  T</w:t>
      </w:r>
      <w:r>
        <w:t xml:space="preserve">he way they were persuaded was by providing a way for them to hedge.  </w:t>
      </w:r>
      <w:r w:rsidR="00863A5E">
        <w:t>The technology of c</w:t>
      </w:r>
      <w:r>
        <w:t>redit default swaps</w:t>
      </w:r>
      <w:r w:rsidR="00863A5E">
        <w:t xml:space="preserve">, </w:t>
      </w:r>
      <w:r>
        <w:t>originally</w:t>
      </w:r>
      <w:r w:rsidR="00863A5E">
        <w:t xml:space="preserve"> developed for hedging</w:t>
      </w:r>
      <w:r>
        <w:t xml:space="preserve"> tail risk, </w:t>
      </w:r>
      <w:r w:rsidR="00863A5E">
        <w:t>was adapted for this additional purpose</w:t>
      </w:r>
      <w:r>
        <w:t>.</w:t>
      </w:r>
    </w:p>
    <w:p w:rsidR="00900A56" w:rsidRDefault="007E02A1" w:rsidP="007D31D2">
      <w:pPr>
        <w:spacing w:line="480" w:lineRule="auto"/>
      </w:pPr>
      <w:r>
        <w:t>Figure 3 shows one way that hedge funds were persuaded to play their assigned role.</w:t>
      </w:r>
      <w:r w:rsidR="00D03EAA">
        <w:rPr>
          <w:rStyle w:val="FootnoteReference"/>
        </w:rPr>
        <w:footnoteReference w:id="17"/>
      </w:r>
      <w:r>
        <w:t xml:space="preserve">  I show them holding the Lo Tranche but hedging the risk by buying insurance on the Mid Tranche</w:t>
      </w:r>
      <w:r w:rsidR="00D03EAA">
        <w:t xml:space="preserve">.  And I show them </w:t>
      </w:r>
      <w:r w:rsidR="00D03EAA">
        <w:lastRenderedPageBreak/>
        <w:t>buying that</w:t>
      </w:r>
      <w:r>
        <w:t xml:space="preserve"> insurance from an investment bank wh</w:t>
      </w:r>
      <w:r w:rsidR="00D03EAA">
        <w:t>ich</w:t>
      </w:r>
      <w:r>
        <w:t xml:space="preserve"> hedges </w:t>
      </w:r>
      <w:r w:rsidR="006054E0">
        <w:t xml:space="preserve">its own exposure </w:t>
      </w:r>
      <w:r>
        <w:t>by buying insurance on the Hi Tranche.</w:t>
      </w:r>
      <w:r w:rsidR="00F156D2" w:rsidRPr="00F156D2">
        <w:rPr>
          <w:rStyle w:val="FootnoteReference"/>
        </w:rPr>
        <w:t xml:space="preserve"> </w:t>
      </w:r>
      <w:r w:rsidR="00F156D2">
        <w:rPr>
          <w:rStyle w:val="FootnoteReference"/>
        </w:rPr>
        <w:footnoteReference w:id="18"/>
      </w:r>
      <w:r w:rsidR="00F156D2">
        <w:t xml:space="preserve"> </w:t>
      </w:r>
      <w:r>
        <w:t xml:space="preserve">  </w:t>
      </w:r>
      <w:r w:rsidR="00B44DAB">
        <w:t xml:space="preserve">In effect, </w:t>
      </w:r>
      <w:r w:rsidR="00D03EAA">
        <w:t xml:space="preserve">the investment bank </w:t>
      </w:r>
      <w:r w:rsidR="00B44DAB">
        <w:t xml:space="preserve">is acting </w:t>
      </w:r>
      <w:r w:rsidR="00D03EAA">
        <w:t>as</w:t>
      </w:r>
      <w:r w:rsidR="00B44DAB">
        <w:t xml:space="preserve"> a</w:t>
      </w:r>
      <w:r w:rsidR="00D03EAA">
        <w:t xml:space="preserve"> derivative dealer</w:t>
      </w:r>
      <w:r w:rsidR="00B44DAB">
        <w:t>, looking to achieve matched book</w:t>
      </w:r>
      <w:r w:rsidR="00D03EAA">
        <w:t xml:space="preserve"> notwithstanding the difference between assets and liabilities.  </w:t>
      </w:r>
      <w:r w:rsidR="00B44DAB">
        <w:t xml:space="preserve">The reason </w:t>
      </w:r>
      <w:r w:rsidR="006054E0">
        <w:t>this works</w:t>
      </w:r>
      <w:r w:rsidR="00B44DAB">
        <w:t xml:space="preserve"> </w:t>
      </w:r>
      <w:r>
        <w:t xml:space="preserve">is that the fortunes of all three tranches depend ultimately on the performance of the </w:t>
      </w:r>
      <w:r w:rsidR="00B44DAB">
        <w:t xml:space="preserve">same </w:t>
      </w:r>
      <w:r>
        <w:t>underlying mortgage assets</w:t>
      </w:r>
      <w:r w:rsidR="00F156D2">
        <w:t xml:space="preserve">, </w:t>
      </w:r>
      <w:r w:rsidR="00B44DAB">
        <w:t>which</w:t>
      </w:r>
      <w:r>
        <w:t xml:space="preserve"> means they are correlated</w:t>
      </w:r>
      <w:r w:rsidR="00F156D2">
        <w:t>.  C</w:t>
      </w:r>
      <w:r>
        <w:t>orrelation means you can use CDS on a higher tranche to hedge exposure to a lower tranche</w:t>
      </w:r>
      <w:r w:rsidR="006054E0">
        <w:t>; the only hitch is that you have to get the hedge ratio right</w:t>
      </w:r>
      <w:r>
        <w:t xml:space="preserve">.  </w:t>
      </w:r>
    </w:p>
    <w:p w:rsidR="00F5016F" w:rsidRDefault="00F5016F" w:rsidP="007D31D2">
      <w:pPr>
        <w:spacing w:line="480" w:lineRule="auto"/>
      </w:pPr>
      <w:r>
        <w:t>[Insert Figure 3 about here]</w:t>
      </w:r>
    </w:p>
    <w:p w:rsidR="00F156D2" w:rsidRDefault="00B44DAB" w:rsidP="007D31D2">
      <w:pPr>
        <w:spacing w:line="480" w:lineRule="auto"/>
      </w:pPr>
      <w:r>
        <w:t>The crucial point is that such a hedge typically requires</w:t>
      </w:r>
      <w:r w:rsidR="00F156D2">
        <w:t xml:space="preserve"> </w:t>
      </w:r>
      <w:r w:rsidR="007E02A1">
        <w:t xml:space="preserve">you (the investment bank) to buy insurance on a larger nominal quantity of </w:t>
      </w:r>
      <w:r>
        <w:t xml:space="preserve">the </w:t>
      </w:r>
      <w:r w:rsidR="007E02A1">
        <w:t>Hi Tranche asset than the</w:t>
      </w:r>
      <w:r>
        <w:t xml:space="preserve"> nominal quantity of</w:t>
      </w:r>
      <w:r w:rsidR="007E02A1">
        <w:t xml:space="preserve"> Mid Tranche assets you have </w:t>
      </w:r>
      <w:r w:rsidR="00900A56">
        <w:t>insured.</w:t>
      </w:r>
      <w:r w:rsidR="00F156D2">
        <w:t xml:space="preserve">  (A perfect hedge thus can easily appear, to an outsider who merely compares nominal exposure, as a directional bet.)</w:t>
      </w:r>
      <w:r w:rsidR="00900A56">
        <w:t xml:space="preserve">   </w:t>
      </w:r>
      <w:r w:rsidR="00F156D2">
        <w:t xml:space="preserve">In this way, the bottleneck </w:t>
      </w:r>
      <w:r>
        <w:t xml:space="preserve">in the placement of </w:t>
      </w:r>
      <w:r w:rsidR="006054E0">
        <w:t>Lo Tranche gets</w:t>
      </w:r>
      <w:r w:rsidR="00F156D2">
        <w:t xml:space="preserve"> transformed into a bottleneck </w:t>
      </w:r>
      <w:r>
        <w:t>in placement of</w:t>
      </w:r>
      <w:r w:rsidR="00F156D2">
        <w:t xml:space="preserve"> Hi CDS, which bottleneck was relieved by AIG (and other insurers)</w:t>
      </w:r>
      <w:r>
        <w:t>.</w:t>
      </w:r>
      <w:r>
        <w:rPr>
          <w:rStyle w:val="FootnoteReference"/>
        </w:rPr>
        <w:footnoteReference w:id="19"/>
      </w:r>
      <w:r w:rsidR="00F156D2">
        <w:t xml:space="preserve"> Because of AIG, the key bottleneck for the expansion of the system was overcome</w:t>
      </w:r>
      <w:r w:rsidR="006054E0">
        <w:t xml:space="preserve"> </w:t>
      </w:r>
      <w:r w:rsidR="00F156D2">
        <w:t>but only for a while</w:t>
      </w:r>
      <w:r>
        <w:t xml:space="preserve">.  When AIG </w:t>
      </w:r>
      <w:r w:rsidR="00F156D2">
        <w:t>pull</w:t>
      </w:r>
      <w:r>
        <w:t>ed</w:t>
      </w:r>
      <w:r w:rsidR="00F156D2">
        <w:t xml:space="preserve"> back</w:t>
      </w:r>
      <w:r>
        <w:t>,</w:t>
      </w:r>
      <w:r w:rsidR="00F156D2">
        <w:t xml:space="preserve"> the days of remaining expansion were numbered.  </w:t>
      </w:r>
    </w:p>
    <w:p w:rsidR="00A568AA" w:rsidRDefault="00B44DAB" w:rsidP="007D31D2">
      <w:pPr>
        <w:spacing w:line="480" w:lineRule="auto"/>
      </w:pPr>
      <w:r>
        <w:t>T</w:t>
      </w:r>
      <w:r w:rsidR="00F156D2">
        <w:t xml:space="preserve">here was still money to be made, </w:t>
      </w:r>
      <w:r>
        <w:t xml:space="preserve">however, </w:t>
      </w:r>
      <w:r w:rsidR="00F156D2">
        <w:t xml:space="preserve">so the system did not </w:t>
      </w:r>
      <w:r>
        <w:t xml:space="preserve">immediately </w:t>
      </w:r>
      <w:r w:rsidR="00F156D2">
        <w:t>halt in its tracks.  One tem</w:t>
      </w:r>
      <w:r w:rsidR="006054E0">
        <w:t xml:space="preserve">ptation </w:t>
      </w:r>
      <w:r w:rsidR="00F156D2">
        <w:t>was simply t</w:t>
      </w:r>
      <w:r>
        <w:t>o abandon</w:t>
      </w:r>
      <w:r w:rsidR="00F156D2">
        <w:t xml:space="preserve"> </w:t>
      </w:r>
      <w:r w:rsidR="00F5016F">
        <w:t xml:space="preserve">the effort to achieve </w:t>
      </w:r>
      <w:r w:rsidR="00F156D2">
        <w:t xml:space="preserve">matched book, </w:t>
      </w:r>
      <w:r>
        <w:t xml:space="preserve">which was </w:t>
      </w:r>
      <w:r w:rsidR="00F156D2">
        <w:t>easy enou</w:t>
      </w:r>
      <w:r>
        <w:t>gh to do since no one r</w:t>
      </w:r>
      <w:r w:rsidR="00F5016F">
        <w:t>eally knew what hedge ratio wa</w:t>
      </w:r>
      <w:r w:rsidR="00F156D2">
        <w:t>s necessary to provide a</w:t>
      </w:r>
      <w:r w:rsidR="007E02A1">
        <w:t xml:space="preserve"> perf</w:t>
      </w:r>
      <w:r>
        <w:t>ect hedge.  B</w:t>
      </w:r>
      <w:r w:rsidR="00F156D2">
        <w:t xml:space="preserve">ullish </w:t>
      </w:r>
      <w:r w:rsidR="007E02A1">
        <w:t xml:space="preserve">investment banks </w:t>
      </w:r>
      <w:r w:rsidR="00F156D2">
        <w:t xml:space="preserve">were free to choose a low </w:t>
      </w:r>
      <w:r w:rsidR="006054E0">
        <w:t xml:space="preserve">hedge </w:t>
      </w:r>
      <w:r w:rsidR="00F156D2">
        <w:t>ratio, while bearish investment banks were free to choo</w:t>
      </w:r>
      <w:r w:rsidR="007E02A1">
        <w:t xml:space="preserve">se a high </w:t>
      </w:r>
      <w:r w:rsidR="006054E0">
        <w:t xml:space="preserve">hedge </w:t>
      </w:r>
      <w:r w:rsidR="007E02A1">
        <w:t>ratio.  If t</w:t>
      </w:r>
      <w:r w:rsidR="00F156D2">
        <w:t>he bulls we</w:t>
      </w:r>
      <w:r w:rsidR="007E02A1">
        <w:t xml:space="preserve">re right, they </w:t>
      </w:r>
      <w:r w:rsidR="00F156D2">
        <w:t>would make more money; if the bears we</w:t>
      </w:r>
      <w:r w:rsidR="007E02A1">
        <w:t xml:space="preserve">re right, they </w:t>
      </w:r>
      <w:r w:rsidR="00F156D2">
        <w:t xml:space="preserve">would </w:t>
      </w:r>
      <w:r w:rsidR="006054E0">
        <w:t>liv</w:t>
      </w:r>
      <w:r w:rsidR="007E02A1">
        <w:t>e to fight another day.</w:t>
      </w:r>
      <w:r w:rsidR="00900A56">
        <w:t xml:space="preserve">  </w:t>
      </w:r>
      <w:r w:rsidR="00F156D2">
        <w:t xml:space="preserve">One way to understand </w:t>
      </w:r>
      <w:r w:rsidR="00900A56">
        <w:t xml:space="preserve">the crisis is that Bear Stearns and Lehman Brothers </w:t>
      </w:r>
      <w:r w:rsidR="00F156D2">
        <w:lastRenderedPageBreak/>
        <w:t>were bulls</w:t>
      </w:r>
      <w:r>
        <w:t>, while</w:t>
      </w:r>
      <w:r w:rsidR="00900A56">
        <w:t xml:space="preserve"> Goldman Sa</w:t>
      </w:r>
      <w:r w:rsidR="00F156D2">
        <w:t>chs was a bear</w:t>
      </w:r>
      <w:r w:rsidR="00900A56">
        <w:t>.</w:t>
      </w:r>
      <w:r w:rsidR="006054E0">
        <w:t xml:space="preserve">  </w:t>
      </w:r>
      <w:r w:rsidR="00F156D2">
        <w:t xml:space="preserve">But the bears could make </w:t>
      </w:r>
      <w:r>
        <w:t xml:space="preserve">money </w:t>
      </w:r>
      <w:r w:rsidR="00F156D2">
        <w:t>too</w:t>
      </w:r>
      <w:r>
        <w:t>,</w:t>
      </w:r>
      <w:r w:rsidR="00F156D2">
        <w:t xml:space="preserve"> even after AIG pulled back, if only they could figure out a</w:t>
      </w:r>
      <w:r>
        <w:t xml:space="preserve"> different</w:t>
      </w:r>
      <w:r w:rsidR="00F156D2">
        <w:t xml:space="preserve"> way to hedge.  </w:t>
      </w:r>
      <w:r w:rsidR="007E02A1">
        <w:t xml:space="preserve">Figure 4 shows </w:t>
      </w:r>
      <w:r w:rsidR="00A568AA">
        <w:t xml:space="preserve">a stylized example of how this was done, using a </w:t>
      </w:r>
      <w:r w:rsidR="007E02A1">
        <w:t>synthetic CDO</w:t>
      </w:r>
      <w:r w:rsidR="00A568AA">
        <w:t>.</w:t>
      </w:r>
      <w:r w:rsidR="00A568AA">
        <w:rPr>
          <w:rStyle w:val="FootnoteReference"/>
        </w:rPr>
        <w:footnoteReference w:id="20"/>
      </w:r>
    </w:p>
    <w:p w:rsidR="00F5016F" w:rsidRDefault="00F5016F" w:rsidP="007D31D2">
      <w:pPr>
        <w:spacing w:line="480" w:lineRule="auto"/>
      </w:pPr>
      <w:r>
        <w:t>[Insert Figure 4 about here]</w:t>
      </w:r>
    </w:p>
    <w:p w:rsidR="00B74402" w:rsidRDefault="00A568AA" w:rsidP="007D31D2">
      <w:pPr>
        <w:spacing w:line="480" w:lineRule="auto"/>
      </w:pPr>
      <w:r>
        <w:t>A</w:t>
      </w:r>
      <w:r w:rsidR="007E02A1">
        <w:t xml:space="preserve"> synthetic CDO acquires risk exposure not by acquiring risky asset</w:t>
      </w:r>
      <w:r w:rsidR="00B74402">
        <w:t>s</w:t>
      </w:r>
      <w:r w:rsidR="007E02A1">
        <w:t xml:space="preserve"> but </w:t>
      </w:r>
      <w:r w:rsidR="006054E0">
        <w:t xml:space="preserve">rather </w:t>
      </w:r>
      <w:r w:rsidR="007E02A1">
        <w:t>by writing insurance on risky assets</w:t>
      </w:r>
      <w:r w:rsidR="006054E0">
        <w:t xml:space="preserve"> </w:t>
      </w:r>
      <w:r>
        <w:t>a</w:t>
      </w:r>
      <w:r w:rsidR="007E02A1">
        <w:t xml:space="preserve">nd then packaging that insurance with a portfolio of </w:t>
      </w:r>
      <w:proofErr w:type="spellStart"/>
      <w:r w:rsidR="007E02A1">
        <w:t>riskfree</w:t>
      </w:r>
      <w:proofErr w:type="spellEnd"/>
      <w:r w:rsidR="007E02A1">
        <w:t xml:space="preserve"> assets and selling the package in tranches.  </w:t>
      </w:r>
      <w:r w:rsidR="006054E0">
        <w:t xml:space="preserve">In this way, although the CDO writes the CDS, </w:t>
      </w:r>
      <w:r w:rsidR="00B44DAB">
        <w:t>t</w:t>
      </w:r>
      <w:r w:rsidR="00B74402">
        <w:t>he</w:t>
      </w:r>
      <w:r w:rsidR="006054E0">
        <w:t xml:space="preserve"> ultimate</w:t>
      </w:r>
      <w:r w:rsidR="00B74402">
        <w:t xml:space="preserve"> risk exposure</w:t>
      </w:r>
      <w:r>
        <w:t xml:space="preserve"> </w:t>
      </w:r>
      <w:r w:rsidR="00B74402">
        <w:t xml:space="preserve">is passed through to </w:t>
      </w:r>
      <w:r w:rsidR="007E02A1">
        <w:t xml:space="preserve">the holder of the securities issued by the CDO.  </w:t>
      </w:r>
      <w:r>
        <w:t xml:space="preserve">In Figure 4, the Shadow Bank, now shown as an </w:t>
      </w:r>
      <w:proofErr w:type="spellStart"/>
      <w:r>
        <w:t>unhedged</w:t>
      </w:r>
      <w:proofErr w:type="spellEnd"/>
      <w:r>
        <w:t xml:space="preserve"> holder of the Hi Tranche, is bearing the ri</w:t>
      </w:r>
      <w:r w:rsidR="002D2206">
        <w:t>sk that the Insurance Company wa</w:t>
      </w:r>
      <w:r>
        <w:t>s no longer willing to underwrite.</w:t>
      </w:r>
    </w:p>
    <w:p w:rsidR="002D2206" w:rsidRDefault="002D2206" w:rsidP="002D2206">
      <w:pPr>
        <w:spacing w:line="480" w:lineRule="auto"/>
      </w:pPr>
      <w:r>
        <w:t>Thus, when the crisis came,</w:t>
      </w:r>
      <w:r w:rsidR="00F5016F">
        <w:t xml:space="preserve"> the largest losses hit</w:t>
      </w:r>
      <w:r w:rsidR="00152D4D">
        <w:t xml:space="preserve"> </w:t>
      </w:r>
      <w:r w:rsidR="00805CC4">
        <w:t xml:space="preserve">the </w:t>
      </w:r>
      <w:r w:rsidR="00152D4D">
        <w:t xml:space="preserve">issuers of </w:t>
      </w:r>
      <w:r w:rsidR="00805CC4">
        <w:t xml:space="preserve">the </w:t>
      </w:r>
      <w:r w:rsidR="00152D4D">
        <w:t xml:space="preserve">Hi CDS </w:t>
      </w:r>
      <w:r>
        <w:t xml:space="preserve">(AIG), the derivative dealers who got their hedge ratios wrong (Bear Stearns, Lehman), </w:t>
      </w:r>
      <w:r w:rsidR="00F5016F">
        <w:t>plus the shadow banks and those who wrote liquidity puts to them (UBS, Citibank)</w:t>
      </w:r>
      <w:r w:rsidR="00152D4D">
        <w:t xml:space="preserve">.  </w:t>
      </w:r>
      <w:r w:rsidR="00F5016F">
        <w:t>All of these</w:t>
      </w:r>
      <w:r w:rsidR="00152D4D">
        <w:t xml:space="preserve"> mistakenly thought they were taking very little risk, and for a while the market thought so too, </w:t>
      </w:r>
      <w:r w:rsidR="00805CC4">
        <w:t>which allowed</w:t>
      </w:r>
      <w:r w:rsidR="00152D4D">
        <w:t xml:space="preserve"> them to finance their positions in the global money market.  When the reality of </w:t>
      </w:r>
      <w:r w:rsidR="00805CC4">
        <w:t xml:space="preserve">their </w:t>
      </w:r>
      <w:r w:rsidR="00152D4D">
        <w:t xml:space="preserve">risk exposure became clear, funding dried up and the resulting liquidity crunch caused a global financial crisis.  </w:t>
      </w:r>
      <w:r w:rsidR="00E40424">
        <w:t>Subsequently</w:t>
      </w:r>
      <w:r w:rsidR="00805CC4">
        <w:t>, the way the</w:t>
      </w:r>
      <w:r w:rsidR="00152D4D">
        <w:t xml:space="preserve"> crisis played out was a consequence of the various backstops that the shadow banking system had in place</w:t>
      </w:r>
      <w:r w:rsidR="00805CC4">
        <w:t xml:space="preserve"> directly</w:t>
      </w:r>
      <w:r w:rsidR="00152D4D">
        <w:t xml:space="preserve"> within the traditional financial system, and </w:t>
      </w:r>
      <w:r w:rsidR="00805CC4">
        <w:t xml:space="preserve">indirectly </w:t>
      </w:r>
      <w:r w:rsidR="00152D4D">
        <w:t>with the government</w:t>
      </w:r>
      <w:r w:rsidR="00805CC4">
        <w:t xml:space="preserve"> (Krieger 2011)</w:t>
      </w:r>
      <w:r w:rsidR="00152D4D">
        <w:t>.</w:t>
      </w:r>
    </w:p>
    <w:p w:rsidR="002D2206" w:rsidRDefault="002D2206" w:rsidP="002D2206">
      <w:pPr>
        <w:spacing w:line="480" w:lineRule="auto"/>
      </w:pPr>
    </w:p>
    <w:p w:rsidR="005E5FF6" w:rsidRPr="002D2206" w:rsidRDefault="002D2206" w:rsidP="002D2206">
      <w:pPr>
        <w:spacing w:line="480" w:lineRule="auto"/>
      </w:pPr>
      <w:r>
        <w:t xml:space="preserve">III. </w:t>
      </w:r>
      <w:r w:rsidR="005E5FF6" w:rsidRPr="005E5FF6">
        <w:rPr>
          <w:b/>
        </w:rPr>
        <w:t>The Past and Future of the Fed</w:t>
      </w:r>
    </w:p>
    <w:p w:rsidR="002D2206" w:rsidRDefault="00310CF7" w:rsidP="002D2206">
      <w:pPr>
        <w:spacing w:line="480" w:lineRule="auto"/>
      </w:pPr>
      <w:r>
        <w:lastRenderedPageBreak/>
        <w:t xml:space="preserve">On September 23, 2008, </w:t>
      </w:r>
      <w:r w:rsidR="002D2206">
        <w:t xml:space="preserve">shortly after the failure of Lehman and AIG, </w:t>
      </w:r>
      <w:r>
        <w:t xml:space="preserve">I published a letter in the </w:t>
      </w:r>
      <w:r w:rsidRPr="00805CC4">
        <w:rPr>
          <w:u w:val="single"/>
        </w:rPr>
        <w:t>Financial Times</w:t>
      </w:r>
      <w:r>
        <w:t xml:space="preserve"> urging the Treasury to step in as “market maker of last resort in the index credit default swaps on the ABX”</w:t>
      </w:r>
      <w:r w:rsidR="002D2206">
        <w:t>.  (The ABX is a basket</w:t>
      </w:r>
      <w:r>
        <w:t xml:space="preserve"> of mortgage backed securities.</w:t>
      </w:r>
      <w:r w:rsidR="002D2206">
        <w:t xml:space="preserve">)  Given that the AIG anchor </w:t>
      </w:r>
      <w:r w:rsidR="00E40424">
        <w:t>for the system was now gone, my</w:t>
      </w:r>
      <w:r w:rsidR="002D2206">
        <w:t xml:space="preserve"> idea was simply to have the government step in to provide that anchor instead.  </w:t>
      </w:r>
      <w:r w:rsidR="005E4C34">
        <w:t>For pragmatic reasons, I urged this policy on the Treasury, not the Fed, but t</w:t>
      </w:r>
      <w:r w:rsidR="002D2206">
        <w:t xml:space="preserve">he issue in my mind was not so much solvency as it was liquidity; like most people, I was </w:t>
      </w:r>
      <w:r w:rsidR="005E4C34">
        <w:t>at the time</w:t>
      </w:r>
      <w:r w:rsidR="002D2206">
        <w:t xml:space="preserve"> blissfully unaware of the dubious quality of the underlying assets</w:t>
      </w:r>
      <w:r w:rsidR="005E4C34">
        <w:t xml:space="preserve"> (i.e. the upward distortion of some prices)</w:t>
      </w:r>
      <w:r w:rsidR="002D2206">
        <w:t>, and hence mainly concerned to halt an inci</w:t>
      </w:r>
      <w:r w:rsidR="005E4C34">
        <w:t>pient downward liquidity spiral.</w:t>
      </w:r>
    </w:p>
    <w:p w:rsidR="004B0A2C" w:rsidRDefault="005E4C34" w:rsidP="007D31D2">
      <w:pPr>
        <w:spacing w:line="480" w:lineRule="auto"/>
      </w:pPr>
      <w:r>
        <w:t>My favored policy was not adopted, although the subsequent TARP legislation provided explicit authorization for it</w:t>
      </w:r>
      <w:r w:rsidR="00BF6CE2">
        <w:t xml:space="preserve"> (Section 102)</w:t>
      </w:r>
      <w:r>
        <w:t xml:space="preserve">.  </w:t>
      </w:r>
      <w:r w:rsidR="00310CF7">
        <w:t xml:space="preserve">Instead, </w:t>
      </w:r>
      <w:r>
        <w:t xml:space="preserve">the main actor was the Fed, which dramatically expanded its balance sheet on both sides, </w:t>
      </w:r>
      <w:r w:rsidR="002D2206">
        <w:t xml:space="preserve">in effect </w:t>
      </w:r>
      <w:r w:rsidR="00BF6CE2">
        <w:t xml:space="preserve">substituting </w:t>
      </w:r>
      <w:r w:rsidR="002D2206">
        <w:t xml:space="preserve">the impaired balance sheets of private </w:t>
      </w:r>
      <w:r>
        <w:t xml:space="preserve">money </w:t>
      </w:r>
      <w:r w:rsidR="002D2206">
        <w:t>dealers</w:t>
      </w:r>
      <w:r w:rsidR="00BF6CE2">
        <w:t>, so putting a floor on the collapsing global money market.  And then, st</w:t>
      </w:r>
      <w:r w:rsidR="00310CF7">
        <w:t>arting in March 2009 as the emergency had begun to subside</w:t>
      </w:r>
      <w:r w:rsidR="00BF6CE2">
        <w:t xml:space="preserve"> </w:t>
      </w:r>
      <w:r w:rsidR="004B0A2C">
        <w:t>and funds were</w:t>
      </w:r>
      <w:r w:rsidR="00805CC4">
        <w:t xml:space="preserve"> being</w:t>
      </w:r>
      <w:r w:rsidR="004B0A2C">
        <w:t xml:space="preserve"> repaid</w:t>
      </w:r>
      <w:r w:rsidR="00805CC4">
        <w:t>, the Fed entered as a bidder</w:t>
      </w:r>
      <w:r w:rsidR="00310CF7">
        <w:t xml:space="preserve"> for mortgage</w:t>
      </w:r>
      <w:r w:rsidR="004B0A2C">
        <w:t xml:space="preserve">-backed securities </w:t>
      </w:r>
      <w:r w:rsidR="00805CC4">
        <w:t>directly,</w:t>
      </w:r>
      <w:r w:rsidR="004B0A2C">
        <w:t xml:space="preserve"> in an operation that came to be called QE1</w:t>
      </w:r>
      <w:r w:rsidR="00E40424">
        <w:t xml:space="preserve"> (for quantitative easing).  F</w:t>
      </w:r>
      <w:r w:rsidR="00BF6CE2">
        <w:t>inally,</w:t>
      </w:r>
      <w:r w:rsidR="004B0A2C">
        <w:t xml:space="preserve"> as those</w:t>
      </w:r>
      <w:r w:rsidR="00BF6CE2">
        <w:t xml:space="preserve"> mortgage-backed</w:t>
      </w:r>
      <w:r w:rsidR="004B0A2C">
        <w:t xml:space="preserve"> securities began to </w:t>
      </w:r>
      <w:r w:rsidR="00E40424">
        <w:t>run</w:t>
      </w:r>
      <w:r w:rsidR="004B0A2C">
        <w:t xml:space="preserve"> off, the Fed entered again as bidder, this time for Treasury securities (QE2).  </w:t>
      </w:r>
    </w:p>
    <w:p w:rsidR="00310CF7" w:rsidRDefault="00805CC4" w:rsidP="007D31D2">
      <w:pPr>
        <w:spacing w:line="480" w:lineRule="auto"/>
      </w:pPr>
      <w:r>
        <w:t>The Fed’s</w:t>
      </w:r>
      <w:r w:rsidR="004B0A2C">
        <w:t xml:space="preserve"> balance sheet, as of July 2011, is shown below:</w:t>
      </w:r>
    </w:p>
    <w:p w:rsidR="004B0A2C" w:rsidRDefault="004B0A2C" w:rsidP="007D31D2">
      <w:pPr>
        <w:spacing w:line="480" w:lineRule="auto"/>
        <w:jc w:val="center"/>
      </w:pPr>
      <w:r>
        <w:t>Federal Reserve (July 6, 2011), in trillions</w:t>
      </w:r>
    </w:p>
    <w:tbl>
      <w:tblPr>
        <w:tblStyle w:val="TableGrid"/>
        <w:tblW w:w="0" w:type="auto"/>
        <w:tblInd w:w="2178" w:type="dxa"/>
        <w:tblLook w:val="04A0" w:firstRow="1" w:lastRow="0" w:firstColumn="1" w:lastColumn="0" w:noHBand="0" w:noVBand="1"/>
      </w:tblPr>
      <w:tblGrid>
        <w:gridCol w:w="2610"/>
        <w:gridCol w:w="2430"/>
      </w:tblGrid>
      <w:tr w:rsidR="004B0A2C" w:rsidTr="004B0A2C">
        <w:tc>
          <w:tcPr>
            <w:tcW w:w="2610" w:type="dxa"/>
          </w:tcPr>
          <w:p w:rsidR="004B0A2C" w:rsidRDefault="004B0A2C" w:rsidP="007D31D2">
            <w:pPr>
              <w:spacing w:line="480" w:lineRule="auto"/>
            </w:pPr>
            <w:r>
              <w:t>Assets</w:t>
            </w:r>
          </w:p>
        </w:tc>
        <w:tc>
          <w:tcPr>
            <w:tcW w:w="2430" w:type="dxa"/>
          </w:tcPr>
          <w:p w:rsidR="004B0A2C" w:rsidRDefault="004B0A2C" w:rsidP="007D31D2">
            <w:pPr>
              <w:spacing w:line="480" w:lineRule="auto"/>
            </w:pPr>
            <w:r>
              <w:t>Liabilities</w:t>
            </w:r>
          </w:p>
        </w:tc>
      </w:tr>
      <w:tr w:rsidR="004B0A2C" w:rsidTr="004B0A2C">
        <w:tc>
          <w:tcPr>
            <w:tcW w:w="2610" w:type="dxa"/>
          </w:tcPr>
          <w:p w:rsidR="004B0A2C" w:rsidRDefault="00AF6E8D" w:rsidP="007D31D2">
            <w:pPr>
              <w:spacing w:line="480" w:lineRule="auto"/>
            </w:pPr>
            <w:r>
              <w:t>Treasury sec</w:t>
            </w:r>
            <w:r w:rsidR="002745B8">
              <w:t>urities</w:t>
            </w:r>
            <w:r w:rsidR="004B0A2C">
              <w:t xml:space="preserve">      $1.6</w:t>
            </w:r>
          </w:p>
          <w:p w:rsidR="004B0A2C" w:rsidRDefault="004B0A2C" w:rsidP="007D31D2">
            <w:pPr>
              <w:spacing w:line="480" w:lineRule="auto"/>
            </w:pPr>
            <w:r>
              <w:t>Mortgage securities      1.0</w:t>
            </w:r>
          </w:p>
          <w:p w:rsidR="004B0A2C" w:rsidRDefault="004B0A2C" w:rsidP="007D31D2">
            <w:pPr>
              <w:spacing w:line="480" w:lineRule="auto"/>
            </w:pPr>
            <w:r>
              <w:t>Other                                  .2</w:t>
            </w:r>
          </w:p>
          <w:p w:rsidR="00753FAD" w:rsidRDefault="00753FAD" w:rsidP="007D31D2">
            <w:pPr>
              <w:spacing w:line="480" w:lineRule="auto"/>
            </w:pPr>
            <w:r>
              <w:lastRenderedPageBreak/>
              <w:t>TOTAL                            $2.8</w:t>
            </w:r>
          </w:p>
        </w:tc>
        <w:tc>
          <w:tcPr>
            <w:tcW w:w="2430" w:type="dxa"/>
          </w:tcPr>
          <w:p w:rsidR="004B0A2C" w:rsidRDefault="004B0A2C" w:rsidP="007D31D2">
            <w:pPr>
              <w:spacing w:line="480" w:lineRule="auto"/>
            </w:pPr>
            <w:r>
              <w:lastRenderedPageBreak/>
              <w:t xml:space="preserve">$1.0                 Currency </w:t>
            </w:r>
          </w:p>
          <w:p w:rsidR="004B0A2C" w:rsidRDefault="004B0A2C" w:rsidP="007D31D2">
            <w:pPr>
              <w:spacing w:line="480" w:lineRule="auto"/>
            </w:pPr>
            <w:r>
              <w:t xml:space="preserve">  1.6                 Reserves</w:t>
            </w:r>
          </w:p>
          <w:p w:rsidR="004B0A2C" w:rsidRDefault="004B0A2C" w:rsidP="007D31D2">
            <w:pPr>
              <w:spacing w:line="480" w:lineRule="auto"/>
            </w:pPr>
            <w:r>
              <w:t xml:space="preserve">    .2                  Other</w:t>
            </w:r>
          </w:p>
        </w:tc>
      </w:tr>
    </w:tbl>
    <w:p w:rsidR="004B0A2C" w:rsidRDefault="004B0A2C" w:rsidP="007D31D2">
      <w:pPr>
        <w:spacing w:line="480" w:lineRule="auto"/>
      </w:pPr>
    </w:p>
    <w:p w:rsidR="004B0A2C" w:rsidRDefault="004B0A2C" w:rsidP="007D31D2">
      <w:pPr>
        <w:spacing w:line="480" w:lineRule="auto"/>
      </w:pPr>
      <w:r>
        <w:t>Compare July 2007:</w:t>
      </w:r>
    </w:p>
    <w:p w:rsidR="004B0A2C" w:rsidRDefault="004B0A2C" w:rsidP="007D31D2">
      <w:pPr>
        <w:spacing w:line="480" w:lineRule="auto"/>
        <w:jc w:val="center"/>
      </w:pPr>
      <w:r>
        <w:t xml:space="preserve">Federal Reserve (July </w:t>
      </w:r>
      <w:r w:rsidR="00CA6DFB">
        <w:t>4</w:t>
      </w:r>
      <w:r w:rsidR="00753FAD">
        <w:t>, 2007</w:t>
      </w:r>
      <w:r>
        <w:t>), in trillions</w:t>
      </w:r>
    </w:p>
    <w:tbl>
      <w:tblPr>
        <w:tblStyle w:val="TableGrid"/>
        <w:tblW w:w="0" w:type="auto"/>
        <w:tblInd w:w="2178" w:type="dxa"/>
        <w:tblLook w:val="04A0" w:firstRow="1" w:lastRow="0" w:firstColumn="1" w:lastColumn="0" w:noHBand="0" w:noVBand="1"/>
      </w:tblPr>
      <w:tblGrid>
        <w:gridCol w:w="2610"/>
        <w:gridCol w:w="2430"/>
      </w:tblGrid>
      <w:tr w:rsidR="004B0A2C" w:rsidTr="00B44DAB">
        <w:tc>
          <w:tcPr>
            <w:tcW w:w="2610" w:type="dxa"/>
          </w:tcPr>
          <w:p w:rsidR="004B0A2C" w:rsidRDefault="004B0A2C" w:rsidP="007D31D2">
            <w:pPr>
              <w:spacing w:line="480" w:lineRule="auto"/>
            </w:pPr>
            <w:r>
              <w:t>Assets</w:t>
            </w:r>
          </w:p>
        </w:tc>
        <w:tc>
          <w:tcPr>
            <w:tcW w:w="2430" w:type="dxa"/>
          </w:tcPr>
          <w:p w:rsidR="004B0A2C" w:rsidRDefault="004B0A2C" w:rsidP="007D31D2">
            <w:pPr>
              <w:spacing w:line="480" w:lineRule="auto"/>
            </w:pPr>
            <w:r>
              <w:t>Liabilities</w:t>
            </w:r>
          </w:p>
        </w:tc>
      </w:tr>
      <w:tr w:rsidR="004B0A2C" w:rsidTr="00B44DAB">
        <w:tc>
          <w:tcPr>
            <w:tcW w:w="2610" w:type="dxa"/>
          </w:tcPr>
          <w:p w:rsidR="004B0A2C" w:rsidRDefault="00AF6E8D" w:rsidP="007D31D2">
            <w:pPr>
              <w:spacing w:line="480" w:lineRule="auto"/>
            </w:pPr>
            <w:r>
              <w:t>Treasury securities</w:t>
            </w:r>
            <w:r w:rsidR="004B0A2C">
              <w:t xml:space="preserve">      </w:t>
            </w:r>
            <w:r w:rsidR="00CA6DFB">
              <w:t>$</w:t>
            </w:r>
            <w:r w:rsidR="004B0A2C">
              <w:t>.</w:t>
            </w:r>
            <w:r w:rsidR="00CA6DFB">
              <w:t>79</w:t>
            </w:r>
          </w:p>
          <w:p w:rsidR="004B0A2C" w:rsidRDefault="004B0A2C" w:rsidP="007D31D2">
            <w:pPr>
              <w:spacing w:line="480" w:lineRule="auto"/>
            </w:pPr>
          </w:p>
          <w:p w:rsidR="004B0A2C" w:rsidRDefault="004B0A2C" w:rsidP="007D31D2">
            <w:pPr>
              <w:spacing w:line="480" w:lineRule="auto"/>
            </w:pPr>
            <w:r>
              <w:t xml:space="preserve">Other  </w:t>
            </w:r>
            <w:r w:rsidR="00CA6DFB">
              <w:t xml:space="preserve">                       </w:t>
            </w:r>
            <w:r>
              <w:t xml:space="preserve">       </w:t>
            </w:r>
            <w:r w:rsidR="00CA6DFB">
              <w:t>.12</w:t>
            </w:r>
          </w:p>
          <w:p w:rsidR="00753FAD" w:rsidRDefault="00753FAD" w:rsidP="007D31D2">
            <w:pPr>
              <w:spacing w:line="480" w:lineRule="auto"/>
            </w:pPr>
            <w:r>
              <w:t>TOTAL                            $.91</w:t>
            </w:r>
          </w:p>
        </w:tc>
        <w:tc>
          <w:tcPr>
            <w:tcW w:w="2430" w:type="dxa"/>
          </w:tcPr>
          <w:p w:rsidR="004B0A2C" w:rsidRDefault="00CA6DFB" w:rsidP="007D31D2">
            <w:pPr>
              <w:spacing w:line="480" w:lineRule="auto"/>
            </w:pPr>
            <w:r>
              <w:t>$.82</w:t>
            </w:r>
            <w:r w:rsidR="004B0A2C">
              <w:t xml:space="preserve">                 Currency </w:t>
            </w:r>
          </w:p>
          <w:p w:rsidR="004B0A2C" w:rsidRDefault="004B0A2C" w:rsidP="007D31D2">
            <w:pPr>
              <w:spacing w:line="480" w:lineRule="auto"/>
            </w:pPr>
            <w:r>
              <w:t xml:space="preserve">  .</w:t>
            </w:r>
            <w:r w:rsidR="00CA6DFB">
              <w:t>01</w:t>
            </w:r>
            <w:r>
              <w:t xml:space="preserve">                 Reserves</w:t>
            </w:r>
          </w:p>
          <w:p w:rsidR="004B0A2C" w:rsidRDefault="00CA6DFB" w:rsidP="007D31D2">
            <w:pPr>
              <w:spacing w:line="480" w:lineRule="auto"/>
            </w:pPr>
            <w:r>
              <w:t xml:space="preserve">  .08</w:t>
            </w:r>
            <w:r w:rsidR="004B0A2C">
              <w:t xml:space="preserve">                  Other</w:t>
            </w:r>
          </w:p>
        </w:tc>
      </w:tr>
    </w:tbl>
    <w:p w:rsidR="00753FAD" w:rsidRDefault="00753FAD" w:rsidP="007D31D2">
      <w:pPr>
        <w:spacing w:line="480" w:lineRule="auto"/>
      </w:pPr>
    </w:p>
    <w:p w:rsidR="00BF6CE2" w:rsidRDefault="00BF6CE2" w:rsidP="007D31D2">
      <w:pPr>
        <w:spacing w:line="480" w:lineRule="auto"/>
      </w:pPr>
      <w:r>
        <w:t xml:space="preserve">Once upon a time, </w:t>
      </w:r>
      <w:r w:rsidR="00805CC4">
        <w:t>before the crisis hit</w:t>
      </w:r>
      <w:r w:rsidR="00AF6E8D">
        <w:t xml:space="preserve">, the Fed </w:t>
      </w:r>
      <w:r w:rsidR="00E40424">
        <w:t>basically</w:t>
      </w:r>
      <w:r>
        <w:t xml:space="preserve"> provided </w:t>
      </w:r>
      <w:r w:rsidR="00AF6E8D">
        <w:t>f</w:t>
      </w:r>
      <w:r>
        <w:t>unding</w:t>
      </w:r>
      <w:r w:rsidR="00AF6E8D">
        <w:t xml:space="preserve"> to the Treasury, b</w:t>
      </w:r>
      <w:r>
        <w:t>y b</w:t>
      </w:r>
      <w:r w:rsidR="00AF6E8D">
        <w:t xml:space="preserve">orrowing essentially at zero and lending at the Treasury rate </w:t>
      </w:r>
      <w:r w:rsidR="002745B8">
        <w:t>(largely short term bills and note)</w:t>
      </w:r>
      <w:r>
        <w:t xml:space="preserve">.  </w:t>
      </w:r>
      <w:r w:rsidR="00E40424">
        <w:t>Today</w:t>
      </w:r>
      <w:r w:rsidR="002745B8">
        <w:t>,</w:t>
      </w:r>
      <w:r w:rsidR="00805CC4">
        <w:t xml:space="preserve"> in the aftermath of the crisis,</w:t>
      </w:r>
      <w:r w:rsidR="002745B8">
        <w:t xml:space="preserve"> the </w:t>
      </w:r>
      <w:r>
        <w:t xml:space="preserve">Fed’s </w:t>
      </w:r>
      <w:r w:rsidR="002745B8">
        <w:t xml:space="preserve">balance sheet is about three times bigger, </w:t>
      </w:r>
      <w:r w:rsidR="00E40424">
        <w:t>and its</w:t>
      </w:r>
      <w:r w:rsidR="002745B8">
        <w:t xml:space="preserve"> composition is also very different.   There is an entirely new category of mortgage securities (MBS plus GSE debt), and the Treasury securities are now </w:t>
      </w:r>
      <w:r w:rsidR="00E40424">
        <w:t>almost all long</w:t>
      </w:r>
      <w:r w:rsidR="002745B8">
        <w:t xml:space="preserve"> term.</w:t>
      </w:r>
      <w:r w:rsidR="00E40424">
        <w:t xml:space="preserve">  How should we understand this dramatic change?</w:t>
      </w:r>
      <w:r w:rsidR="002745B8">
        <w:t xml:space="preserve">    </w:t>
      </w:r>
    </w:p>
    <w:p w:rsidR="00C918EC" w:rsidRDefault="002745B8" w:rsidP="007D31D2">
      <w:pPr>
        <w:spacing w:line="480" w:lineRule="auto"/>
      </w:pPr>
      <w:r>
        <w:t>Just as modern portfolio management allows asset managers to achieve risk exposures using derivatives, we could imagine the Fed doing the same</w:t>
      </w:r>
      <w:r w:rsidR="00E40424">
        <w:t>.  To see how the Fed could achieve the very same risk exposures using swaps, add short-term T-bills</w:t>
      </w:r>
      <w:r w:rsidR="00E40424">
        <w:t xml:space="preserve"> and long-term T-bond</w:t>
      </w:r>
      <w:r w:rsidR="00E40424">
        <w:t>s</w:t>
      </w:r>
      <w:r w:rsidR="00E40424">
        <w:t xml:space="preserve"> to both sides of the balanc</w:t>
      </w:r>
      <w:r w:rsidR="00E40424">
        <w:t>e sheet, and rearrange</w:t>
      </w:r>
      <w:r>
        <w:t xml:space="preserve"> as follows:</w:t>
      </w:r>
    </w:p>
    <w:p w:rsidR="00E40424" w:rsidRDefault="00E40424" w:rsidP="007D31D2">
      <w:pPr>
        <w:spacing w:line="480" w:lineRule="auto"/>
      </w:pPr>
    </w:p>
    <w:p w:rsidR="00E40424" w:rsidRDefault="00E40424" w:rsidP="007D31D2">
      <w:pPr>
        <w:spacing w:line="480" w:lineRule="auto"/>
      </w:pPr>
    </w:p>
    <w:p w:rsidR="002745B8" w:rsidRDefault="002745B8" w:rsidP="007D31D2">
      <w:pPr>
        <w:spacing w:line="480" w:lineRule="auto"/>
        <w:jc w:val="center"/>
      </w:pPr>
      <w:r>
        <w:lastRenderedPageBreak/>
        <w:t>Federal Reserve (July 6, 2011), in trillions</w:t>
      </w:r>
      <w:r w:rsidR="002C0A2E">
        <w:t>, restated</w:t>
      </w:r>
    </w:p>
    <w:tbl>
      <w:tblPr>
        <w:tblStyle w:val="TableGrid"/>
        <w:tblW w:w="0" w:type="auto"/>
        <w:tblInd w:w="2178" w:type="dxa"/>
        <w:tblLook w:val="04A0" w:firstRow="1" w:lastRow="0" w:firstColumn="1" w:lastColumn="0" w:noHBand="0" w:noVBand="1"/>
      </w:tblPr>
      <w:tblGrid>
        <w:gridCol w:w="2610"/>
        <w:gridCol w:w="2700"/>
      </w:tblGrid>
      <w:tr w:rsidR="002745B8" w:rsidTr="00C918EC">
        <w:tc>
          <w:tcPr>
            <w:tcW w:w="2610" w:type="dxa"/>
          </w:tcPr>
          <w:p w:rsidR="002745B8" w:rsidRDefault="002745B8" w:rsidP="007D31D2">
            <w:pPr>
              <w:spacing w:line="480" w:lineRule="auto"/>
            </w:pPr>
            <w:r>
              <w:t>Assets</w:t>
            </w:r>
          </w:p>
        </w:tc>
        <w:tc>
          <w:tcPr>
            <w:tcW w:w="2700" w:type="dxa"/>
          </w:tcPr>
          <w:p w:rsidR="002745B8" w:rsidRDefault="002745B8" w:rsidP="007D31D2">
            <w:pPr>
              <w:spacing w:line="480" w:lineRule="auto"/>
            </w:pPr>
            <w:r>
              <w:t>Liabilities</w:t>
            </w:r>
          </w:p>
        </w:tc>
      </w:tr>
      <w:tr w:rsidR="002745B8" w:rsidTr="00C918EC">
        <w:tc>
          <w:tcPr>
            <w:tcW w:w="2610" w:type="dxa"/>
          </w:tcPr>
          <w:p w:rsidR="002745B8" w:rsidRDefault="00BF6CE2" w:rsidP="007D31D2">
            <w:pPr>
              <w:spacing w:line="480" w:lineRule="auto"/>
            </w:pPr>
            <w:r>
              <w:t>[</w:t>
            </w:r>
            <w:r w:rsidR="002745B8">
              <w:t>Treasury bills               $2.6</w:t>
            </w:r>
          </w:p>
          <w:p w:rsidR="002745B8" w:rsidRDefault="00BF6CE2" w:rsidP="007D31D2">
            <w:pPr>
              <w:spacing w:line="480" w:lineRule="auto"/>
            </w:pPr>
            <w:r>
              <w:t>[Treasury bonds           $2.6</w:t>
            </w:r>
          </w:p>
          <w:p w:rsidR="00C918EC" w:rsidRDefault="00BF6CE2" w:rsidP="007D31D2">
            <w:pPr>
              <w:spacing w:line="480" w:lineRule="auto"/>
            </w:pPr>
            <w:r>
              <w:t>[Risky securities           $1.0</w:t>
            </w:r>
          </w:p>
          <w:p w:rsidR="002745B8" w:rsidRDefault="002745B8" w:rsidP="007D31D2">
            <w:pPr>
              <w:spacing w:line="480" w:lineRule="auto"/>
            </w:pPr>
            <w:r>
              <w:t>Other                                  .2</w:t>
            </w:r>
            <w:r w:rsidR="00C918EC">
              <w:t xml:space="preserve">     </w:t>
            </w:r>
          </w:p>
        </w:tc>
        <w:tc>
          <w:tcPr>
            <w:tcW w:w="2700" w:type="dxa"/>
          </w:tcPr>
          <w:p w:rsidR="00C918EC" w:rsidRDefault="002745B8" w:rsidP="007D31D2">
            <w:pPr>
              <w:spacing w:line="480" w:lineRule="auto"/>
            </w:pPr>
            <w:r>
              <w:t>$2.6  Currency/Reserves</w:t>
            </w:r>
            <w:r w:rsidR="00BF6CE2">
              <w:t>]</w:t>
            </w:r>
          </w:p>
          <w:p w:rsidR="00C918EC" w:rsidRDefault="00C918EC" w:rsidP="007D31D2">
            <w:pPr>
              <w:spacing w:line="480" w:lineRule="auto"/>
            </w:pPr>
            <w:r>
              <w:t xml:space="preserve">$2.6  </w:t>
            </w:r>
            <w:r w:rsidR="00BF6CE2">
              <w:t>Treasury Bills]</w:t>
            </w:r>
          </w:p>
          <w:p w:rsidR="002745B8" w:rsidRDefault="00C918EC" w:rsidP="007D31D2">
            <w:pPr>
              <w:spacing w:line="480" w:lineRule="auto"/>
            </w:pPr>
            <w:r>
              <w:t xml:space="preserve">$1.0  </w:t>
            </w:r>
            <w:r w:rsidR="009D29A2">
              <w:t xml:space="preserve">Treasury bonds] </w:t>
            </w:r>
          </w:p>
          <w:p w:rsidR="002745B8" w:rsidRDefault="002745B8" w:rsidP="007D31D2">
            <w:pPr>
              <w:spacing w:line="480" w:lineRule="auto"/>
            </w:pPr>
            <w:r>
              <w:t xml:space="preserve">    .2                  Other</w:t>
            </w:r>
          </w:p>
        </w:tc>
      </w:tr>
    </w:tbl>
    <w:p w:rsidR="002745B8" w:rsidRDefault="002745B8" w:rsidP="007D31D2">
      <w:pPr>
        <w:spacing w:line="480" w:lineRule="auto"/>
      </w:pPr>
    </w:p>
    <w:p w:rsidR="009D29A2" w:rsidRDefault="00E40424" w:rsidP="007D31D2">
      <w:pPr>
        <w:spacing w:line="480" w:lineRule="auto"/>
      </w:pPr>
      <w:r>
        <w:t>T</w:t>
      </w:r>
      <w:r w:rsidR="009D29A2">
        <w:t xml:space="preserve">hree fundamental risk exposures can be distinguished.  The first line is a kind of overnight index swap, </w:t>
      </w:r>
      <w:r>
        <w:t>in which the Fed receives</w:t>
      </w:r>
      <w:r w:rsidR="009D29A2">
        <w:t xml:space="preserve"> the three month T-bill rate </w:t>
      </w:r>
      <w:r>
        <w:t>and pays</w:t>
      </w:r>
      <w:r w:rsidR="009D29A2">
        <w:t xml:space="preserve"> the overnight money rate</w:t>
      </w:r>
      <w:r>
        <w:t>.  There</w:t>
      </w:r>
      <w:r w:rsidR="009D29A2">
        <w:t xml:space="preserve"> is nothing new about that exposure; only the magnitude has changed since three years ago.  The second line is a kind of interest rate swap, </w:t>
      </w:r>
      <w:r>
        <w:t>in which the Fed receives</w:t>
      </w:r>
      <w:r w:rsidR="009D29A2">
        <w:t xml:space="preserve"> the long rate and pay</w:t>
      </w:r>
      <w:r>
        <w:t>s</w:t>
      </w:r>
      <w:r w:rsidR="009D29A2">
        <w:t xml:space="preserve"> the short rate.  And the third line is a kind of credit default swap, </w:t>
      </w:r>
      <w:r>
        <w:t xml:space="preserve">with the Fed </w:t>
      </w:r>
      <w:r w:rsidR="009D29A2">
        <w:t xml:space="preserve">receiving the risky rate and paying the </w:t>
      </w:r>
      <w:proofErr w:type="spellStart"/>
      <w:r w:rsidR="009D29A2">
        <w:t>riskfree</w:t>
      </w:r>
      <w:proofErr w:type="spellEnd"/>
      <w:r w:rsidR="009D29A2">
        <w:t xml:space="preserve"> rate.  The second and third lines are essentially new, and they are big.</w:t>
      </w:r>
      <w:r>
        <w:rPr>
          <w:rStyle w:val="FootnoteReference"/>
        </w:rPr>
        <w:footnoteReference w:id="21"/>
      </w:r>
      <w:r w:rsidR="009D29A2">
        <w:t xml:space="preserve">  </w:t>
      </w:r>
    </w:p>
    <w:p w:rsidR="00AF6E8D" w:rsidRDefault="009D29A2" w:rsidP="007D31D2">
      <w:pPr>
        <w:spacing w:line="480" w:lineRule="auto"/>
      </w:pPr>
      <w:r>
        <w:t xml:space="preserve">The point to emphasize here is the way the Fed’s balance sheet has already begun to look like what we would expect </w:t>
      </w:r>
      <w:r w:rsidR="002C0522">
        <w:t>if it were acting as liquidity backstop to the system of the future that we sketched in Figure 2.  In Figure 2, the global funding system and the global derivative dealer system both are depicted as requiring some kind of liquidity put, but we did not specify who was on the other side of that put.   Comparing the Fed’s actual balance sheet with the idealized system of Figure 2, it seems clear that in practice the Fed was on the other side of that put.</w:t>
      </w:r>
      <w:r w:rsidR="00C918EC">
        <w:t xml:space="preserve">  On the one hand, it </w:t>
      </w:r>
      <w:r w:rsidR="00E40424">
        <w:t>has provided</w:t>
      </w:r>
      <w:r w:rsidR="00C918EC">
        <w:t xml:space="preserve"> backstop </w:t>
      </w:r>
      <w:r w:rsidR="00C918EC" w:rsidRPr="00EF7E23">
        <w:rPr>
          <w:u w:val="single"/>
        </w:rPr>
        <w:t>funding liquidity</w:t>
      </w:r>
      <w:r w:rsidR="00C918EC">
        <w:t xml:space="preserve"> for the system, just as it did before the crisis</w:t>
      </w:r>
      <w:r w:rsidR="00EF7E23">
        <w:t xml:space="preserve"> (</w:t>
      </w:r>
      <w:r w:rsidR="00C918EC">
        <w:t>though now with triple the outstanding position</w:t>
      </w:r>
      <w:r w:rsidR="00EF7E23">
        <w:t>)</w:t>
      </w:r>
      <w:r w:rsidR="00E40424">
        <w:t>.  On the other hand, it has provided backstop</w:t>
      </w:r>
      <w:r w:rsidR="00C918EC">
        <w:t xml:space="preserve"> </w:t>
      </w:r>
      <w:r w:rsidR="00C918EC" w:rsidRPr="00EF7E23">
        <w:rPr>
          <w:u w:val="single"/>
        </w:rPr>
        <w:t>market liquidity</w:t>
      </w:r>
      <w:r w:rsidR="00C918EC">
        <w:t xml:space="preserve"> for the system by taking onto its </w:t>
      </w:r>
      <w:r w:rsidR="00C918EC">
        <w:lastRenderedPageBreak/>
        <w:t>own balance sheet risk exposures t</w:t>
      </w:r>
      <w:r w:rsidR="00E40424">
        <w:t xml:space="preserve">hat the market was </w:t>
      </w:r>
      <w:r w:rsidR="00454A80">
        <w:t xml:space="preserve">not </w:t>
      </w:r>
      <w:r w:rsidR="00C918EC">
        <w:t>willing to h</w:t>
      </w:r>
      <w:r w:rsidR="00E40424">
        <w:t>old at prices that the Fed found</w:t>
      </w:r>
      <w:r w:rsidR="00C918EC">
        <w:t xml:space="preserve"> acceptable.</w:t>
      </w:r>
    </w:p>
    <w:p w:rsidR="00E40424" w:rsidRDefault="00E40424" w:rsidP="00E40424">
      <w:pPr>
        <w:spacing w:line="480" w:lineRule="auto"/>
        <w:jc w:val="center"/>
      </w:pPr>
      <w:r>
        <w:t>Federal Reserve (July 6, 2011), in trillions</w:t>
      </w:r>
      <w:r w:rsidR="002C0A2E">
        <w:t>, restated</w:t>
      </w:r>
    </w:p>
    <w:tbl>
      <w:tblPr>
        <w:tblStyle w:val="TableGrid"/>
        <w:tblW w:w="0" w:type="auto"/>
        <w:tblInd w:w="2178" w:type="dxa"/>
        <w:tblLook w:val="04A0" w:firstRow="1" w:lastRow="0" w:firstColumn="1" w:lastColumn="0" w:noHBand="0" w:noVBand="1"/>
      </w:tblPr>
      <w:tblGrid>
        <w:gridCol w:w="2610"/>
        <w:gridCol w:w="2700"/>
      </w:tblGrid>
      <w:tr w:rsidR="00E40424" w:rsidTr="00633282">
        <w:tc>
          <w:tcPr>
            <w:tcW w:w="2610" w:type="dxa"/>
          </w:tcPr>
          <w:p w:rsidR="00E40424" w:rsidRDefault="00E40424" w:rsidP="00633282">
            <w:pPr>
              <w:spacing w:line="480" w:lineRule="auto"/>
            </w:pPr>
            <w:r>
              <w:t>Assets</w:t>
            </w:r>
          </w:p>
        </w:tc>
        <w:tc>
          <w:tcPr>
            <w:tcW w:w="2700" w:type="dxa"/>
          </w:tcPr>
          <w:p w:rsidR="00E40424" w:rsidRDefault="00E40424" w:rsidP="00633282">
            <w:pPr>
              <w:spacing w:line="480" w:lineRule="auto"/>
            </w:pPr>
            <w:r>
              <w:t>Liabilities</w:t>
            </w:r>
          </w:p>
        </w:tc>
      </w:tr>
      <w:tr w:rsidR="00E40424" w:rsidTr="00633282">
        <w:tc>
          <w:tcPr>
            <w:tcW w:w="2610" w:type="dxa"/>
          </w:tcPr>
          <w:p w:rsidR="002C0A2E" w:rsidRDefault="002C0A2E" w:rsidP="00633282">
            <w:pPr>
              <w:spacing w:line="480" w:lineRule="auto"/>
            </w:pPr>
          </w:p>
          <w:p w:rsidR="002C0A2E" w:rsidRDefault="002C0A2E" w:rsidP="00633282">
            <w:pPr>
              <w:spacing w:line="480" w:lineRule="auto"/>
            </w:pPr>
          </w:p>
          <w:p w:rsidR="002C0A2E" w:rsidRDefault="002C0A2E" w:rsidP="00633282">
            <w:pPr>
              <w:spacing w:line="480" w:lineRule="auto"/>
            </w:pPr>
          </w:p>
          <w:p w:rsidR="002C0A2E" w:rsidRDefault="002C0A2E" w:rsidP="00633282">
            <w:pPr>
              <w:spacing w:line="480" w:lineRule="auto"/>
            </w:pPr>
          </w:p>
          <w:p w:rsidR="00E40424" w:rsidRDefault="00E40424" w:rsidP="00633282">
            <w:pPr>
              <w:spacing w:line="480" w:lineRule="auto"/>
            </w:pPr>
            <w:r>
              <w:t xml:space="preserve">Other                                  .2     </w:t>
            </w:r>
          </w:p>
        </w:tc>
        <w:tc>
          <w:tcPr>
            <w:tcW w:w="2700" w:type="dxa"/>
          </w:tcPr>
          <w:p w:rsidR="002C0A2E" w:rsidRDefault="00E40424" w:rsidP="00633282">
            <w:pPr>
              <w:spacing w:line="480" w:lineRule="auto"/>
            </w:pPr>
            <w:r>
              <w:t xml:space="preserve">$2.6  </w:t>
            </w:r>
            <w:r w:rsidR="002C0A2E">
              <w:t>notional liquidity put (global funding)</w:t>
            </w:r>
          </w:p>
          <w:p w:rsidR="00E40424" w:rsidRDefault="002C0A2E" w:rsidP="00633282">
            <w:pPr>
              <w:spacing w:line="480" w:lineRule="auto"/>
            </w:pPr>
            <w:r>
              <w:t>3</w:t>
            </w:r>
            <w:r w:rsidR="00E40424">
              <w:t xml:space="preserve">.6  </w:t>
            </w:r>
            <w:r>
              <w:t>notional liquidity put (derivative dealers)</w:t>
            </w:r>
            <w:r w:rsidR="00E40424">
              <w:t xml:space="preserve"> </w:t>
            </w:r>
          </w:p>
          <w:p w:rsidR="00E40424" w:rsidRDefault="002C0A2E" w:rsidP="00633282">
            <w:pPr>
              <w:spacing w:line="480" w:lineRule="auto"/>
            </w:pPr>
            <w:r>
              <w:t xml:space="preserve"> .2    </w:t>
            </w:r>
            <w:r w:rsidR="00E40424">
              <w:t>Other</w:t>
            </w:r>
          </w:p>
        </w:tc>
      </w:tr>
    </w:tbl>
    <w:p w:rsidR="00E40424" w:rsidRDefault="00E40424" w:rsidP="007D31D2">
      <w:pPr>
        <w:spacing w:line="480" w:lineRule="auto"/>
      </w:pPr>
    </w:p>
    <w:p w:rsidR="002C0522" w:rsidRDefault="002C0522" w:rsidP="007D31D2">
      <w:pPr>
        <w:spacing w:line="480" w:lineRule="auto"/>
      </w:pPr>
    </w:p>
    <w:p w:rsidR="00F05D71" w:rsidRPr="002C0522" w:rsidRDefault="002C0522" w:rsidP="007D31D2">
      <w:pPr>
        <w:spacing w:line="480" w:lineRule="auto"/>
        <w:rPr>
          <w:b/>
        </w:rPr>
      </w:pPr>
      <w:r w:rsidRPr="002C0522">
        <w:rPr>
          <w:b/>
        </w:rPr>
        <w:t>IV</w:t>
      </w:r>
      <w:proofErr w:type="gramStart"/>
      <w:r w:rsidRPr="002C0522">
        <w:rPr>
          <w:b/>
        </w:rPr>
        <w:t>.  Conclusion</w:t>
      </w:r>
      <w:proofErr w:type="gramEnd"/>
    </w:p>
    <w:p w:rsidR="00EF7E23" w:rsidRDefault="00926441" w:rsidP="007D31D2">
      <w:pPr>
        <w:spacing w:line="480" w:lineRule="auto"/>
      </w:pPr>
      <w:r>
        <w:t xml:space="preserve">From a prudential standpoint, </w:t>
      </w:r>
      <w:r w:rsidR="00EF7E23">
        <w:t xml:space="preserve">both </w:t>
      </w:r>
      <w:proofErr w:type="spellStart"/>
      <w:r>
        <w:t>microprudential</w:t>
      </w:r>
      <w:proofErr w:type="spellEnd"/>
      <w:r>
        <w:t xml:space="preserve"> and </w:t>
      </w:r>
      <w:proofErr w:type="spellStart"/>
      <w:r>
        <w:t>macroprudential</w:t>
      </w:r>
      <w:proofErr w:type="spellEnd"/>
      <w:r>
        <w:t>, t</w:t>
      </w:r>
      <w:r w:rsidR="001D468F">
        <w:t>he task that lies before us is the</w:t>
      </w:r>
      <w:r>
        <w:t xml:space="preserve"> </w:t>
      </w:r>
      <w:r w:rsidR="002C0522">
        <w:t>constitution of a</w:t>
      </w:r>
      <w:r>
        <w:t xml:space="preserve"> global funding and deriva</w:t>
      </w:r>
      <w:r w:rsidR="002C0A2E">
        <w:t>tive dealer system that puts in place</w:t>
      </w:r>
      <w:r>
        <w:t xml:space="preserve"> the liquidity and capital buffer</w:t>
      </w:r>
      <w:r w:rsidR="00EF7E23">
        <w:t>s</w:t>
      </w:r>
      <w:r>
        <w:t xml:space="preserve"> for the market-based credit system.  </w:t>
      </w:r>
      <w:r w:rsidR="001D468F" w:rsidRPr="00EF7E23">
        <w:rPr>
          <w:u w:val="single"/>
        </w:rPr>
        <w:t>These are not details to be added once we figure out what to do with traditional banks; the</w:t>
      </w:r>
      <w:r w:rsidR="002C0A2E">
        <w:rPr>
          <w:u w:val="single"/>
        </w:rPr>
        <w:t xml:space="preserve"> global funding banks and derivative dealers</w:t>
      </w:r>
      <w:r w:rsidR="001D468F" w:rsidRPr="00EF7E23">
        <w:rPr>
          <w:u w:val="single"/>
        </w:rPr>
        <w:t xml:space="preserve"> are the central financial intermediaries</w:t>
      </w:r>
      <w:r w:rsidR="002C0A2E">
        <w:rPr>
          <w:u w:val="single"/>
        </w:rPr>
        <w:t xml:space="preserve"> of our time</w:t>
      </w:r>
      <w:r w:rsidR="001D468F" w:rsidRPr="00EF7E23">
        <w:rPr>
          <w:u w:val="single"/>
        </w:rPr>
        <w:t>, and must be the central concern of policy</w:t>
      </w:r>
      <w:r w:rsidR="001D468F">
        <w:t xml:space="preserve">.  </w:t>
      </w:r>
    </w:p>
    <w:p w:rsidR="001D468F" w:rsidRDefault="00EF7E23" w:rsidP="007D31D2">
      <w:pPr>
        <w:spacing w:line="480" w:lineRule="auto"/>
      </w:pPr>
      <w:r>
        <w:t>The technical challenge</w:t>
      </w:r>
      <w:r w:rsidR="00926441">
        <w:t xml:space="preserve"> of</w:t>
      </w:r>
      <w:r>
        <w:t xml:space="preserve"> constructing the new system is</w:t>
      </w:r>
      <w:r w:rsidR="00926441">
        <w:t xml:space="preserve"> formidable, but</w:t>
      </w:r>
      <w:r w:rsidR="002C0A2E">
        <w:t xml:space="preserve"> as we confront that challenge it is important to appreciate that</w:t>
      </w:r>
      <w:r w:rsidR="00926441">
        <w:t xml:space="preserve"> t</w:t>
      </w:r>
      <w:r>
        <w:t>he political economic challenge is</w:t>
      </w:r>
      <w:r w:rsidR="00926441">
        <w:t xml:space="preserve"> even more formidable.  </w:t>
      </w:r>
      <w:r w:rsidR="005E5FF6">
        <w:t xml:space="preserve"> </w:t>
      </w:r>
      <w:r w:rsidR="002C0A2E">
        <w:t>Simply put, t</w:t>
      </w:r>
      <w:r>
        <w:t xml:space="preserve">he </w:t>
      </w:r>
      <w:r w:rsidR="005E5FF6">
        <w:t>political economic equilibrium</w:t>
      </w:r>
      <w:r>
        <w:t xml:space="preserve">, established a century ago at the founding of the Fed, </w:t>
      </w:r>
      <w:r w:rsidR="005E5FF6">
        <w:t xml:space="preserve">is no longer sustainable.  </w:t>
      </w:r>
    </w:p>
    <w:p w:rsidR="00926441" w:rsidRDefault="005E5FF6" w:rsidP="007D31D2">
      <w:pPr>
        <w:spacing w:line="480" w:lineRule="auto"/>
      </w:pPr>
      <w:r>
        <w:lastRenderedPageBreak/>
        <w:t>Three different bogeymen haunted the founders</w:t>
      </w:r>
      <w:r w:rsidR="00EF7E23">
        <w:t xml:space="preserve"> of the Fed</w:t>
      </w:r>
      <w:r>
        <w:t>:  Big Government (Washington), Big Finance (Wall Street), and the Big World (foreign markets</w:t>
      </w:r>
      <w:r w:rsidR="00405A41">
        <w:t xml:space="preserve"> and nations</w:t>
      </w:r>
      <w:r>
        <w:t>).</w:t>
      </w:r>
      <w:r w:rsidR="00AB3F5D">
        <w:t xml:space="preserve">  </w:t>
      </w:r>
      <w:r w:rsidR="00405A41">
        <w:t>Against the first two, the founders’</w:t>
      </w:r>
      <w:r w:rsidR="00EF7E23">
        <w:t xml:space="preserve"> design </w:t>
      </w:r>
      <w:r w:rsidR="002C0A2E">
        <w:t>relied</w:t>
      </w:r>
      <w:r w:rsidR="00AB3F5D">
        <w:t xml:space="preserve"> on the language of the Real Bills Doctrine to </w:t>
      </w:r>
      <w:r w:rsidR="002C0A2E">
        <w:t>ensure that credit would be directed</w:t>
      </w:r>
      <w:r w:rsidR="00AB3F5D">
        <w:t xml:space="preserve"> preferentially to productive uses not speculation, and to private sector uses not government.  </w:t>
      </w:r>
      <w:r w:rsidR="002C0A2E">
        <w:t>As for the third, t</w:t>
      </w:r>
      <w:r w:rsidR="00EF7E23">
        <w:t xml:space="preserve">hey did not </w:t>
      </w:r>
      <w:r w:rsidR="002C0A2E">
        <w:t xml:space="preserve">explicitly </w:t>
      </w:r>
      <w:r w:rsidR="00EF7E23">
        <w:t>rule out i</w:t>
      </w:r>
      <w:r w:rsidR="00AB3F5D">
        <w:t xml:space="preserve">nternational lender-of-last-resort, but only because </w:t>
      </w:r>
      <w:r w:rsidR="00405A41">
        <w:t>it never occurred to them to do so.  T</w:t>
      </w:r>
      <w:r w:rsidR="00AB3F5D">
        <w:t>he</w:t>
      </w:r>
      <w:r w:rsidR="00EF7E23">
        <w:t>y</w:t>
      </w:r>
      <w:r w:rsidR="00AB3F5D">
        <w:t xml:space="preserve"> were operating in the context of an international gold stan</w:t>
      </w:r>
      <w:r w:rsidR="001D468F">
        <w:t xml:space="preserve">dard and with no experience of central banking, </w:t>
      </w:r>
      <w:r w:rsidR="002C0A2E">
        <w:t xml:space="preserve">and </w:t>
      </w:r>
      <w:r w:rsidR="001D468F">
        <w:t>hence</w:t>
      </w:r>
      <w:r w:rsidR="002C0A2E">
        <w:t xml:space="preserve"> with</w:t>
      </w:r>
      <w:r w:rsidR="001D468F">
        <w:t xml:space="preserve"> no experience of the long tradition of central bank cooperation.</w:t>
      </w:r>
    </w:p>
    <w:p w:rsidR="00335E84" w:rsidRDefault="002C0A2E" w:rsidP="007D31D2">
      <w:pPr>
        <w:spacing w:line="480" w:lineRule="auto"/>
      </w:pPr>
      <w:r>
        <w:t>However, a</w:t>
      </w:r>
      <w:r w:rsidR="001D468F">
        <w:t xml:space="preserve">s soon as the system was born it began to change and evolve in response to changing circumstances and challenges.  World War, both I and II, was the biggest such challenge, and the consequence was a certain modus vivendi between the central bank and government, </w:t>
      </w:r>
      <w:r w:rsidR="00A5533B">
        <w:t xml:space="preserve">which is to say </w:t>
      </w:r>
      <w:r w:rsidR="001D468F">
        <w:t xml:space="preserve">between the Fed and the Treasury.  </w:t>
      </w:r>
      <w:r>
        <w:t xml:space="preserve">During wartime, the Fed </w:t>
      </w:r>
      <w:r w:rsidR="00A5533B">
        <w:t>act</w:t>
      </w:r>
      <w:r>
        <w:t>ed</w:t>
      </w:r>
      <w:r w:rsidR="00A5533B">
        <w:t xml:space="preserve"> as dealer-of-last-resort for the Treasury, insuring that the Treasury could always sell as many bonds as it needed by the simple stratagem of buying any that w</w:t>
      </w:r>
      <w:r>
        <w:t>ere left over.  And then after the war</w:t>
      </w:r>
      <w:r w:rsidR="00A5533B">
        <w:t xml:space="preserve"> the Fed maintain</w:t>
      </w:r>
      <w:r>
        <w:t>ed</w:t>
      </w:r>
      <w:r w:rsidR="00A5533B">
        <w:t xml:space="preserve"> orderly markets in Treasury debt, so ensuring a privileged market position for </w:t>
      </w:r>
      <w:r>
        <w:t>that debt, and used the Treasury market to</w:t>
      </w:r>
      <w:r w:rsidR="00A5533B">
        <w:t xml:space="preserve"> conduct its stabilization interventions.</w:t>
      </w:r>
      <w:r w:rsidR="00335E84">
        <w:t xml:space="preserve">  In this way, as the American people came to accept Big Government, so too did they come to accept their central bank as, in part, a government bank with legitimate responsibilities for government finance.  </w:t>
      </w:r>
    </w:p>
    <w:p w:rsidR="00335E84" w:rsidRDefault="00EF7E23" w:rsidP="007D31D2">
      <w:pPr>
        <w:spacing w:line="480" w:lineRule="auto"/>
      </w:pPr>
      <w:r>
        <w:t xml:space="preserve">But the American people have yet to come to terms with Big Finance, much less with the Big World, both of which are at the very center of the problem facing us today.  </w:t>
      </w:r>
      <w:r w:rsidR="00D73B6A">
        <w:t>During the crisis,</w:t>
      </w:r>
      <w:r w:rsidR="00335E84">
        <w:t xml:space="preserve"> the Fed used mechanisms of warti</w:t>
      </w:r>
      <w:r w:rsidR="00D73B6A">
        <w:t xml:space="preserve">me </w:t>
      </w:r>
      <w:r w:rsidR="00D73B6A" w:rsidRPr="00D73B6A">
        <w:rPr>
          <w:u w:val="single"/>
        </w:rPr>
        <w:t>government</w:t>
      </w:r>
      <w:r w:rsidR="00D73B6A">
        <w:t xml:space="preserve"> finance </w:t>
      </w:r>
      <w:r w:rsidR="00335E84">
        <w:t xml:space="preserve">to support </w:t>
      </w:r>
      <w:r w:rsidR="00335E84" w:rsidRPr="00D73B6A">
        <w:rPr>
          <w:u w:val="single"/>
        </w:rPr>
        <w:t>private</w:t>
      </w:r>
      <w:r w:rsidR="00335E84" w:rsidRPr="002C0A2E">
        <w:t xml:space="preserve"> banks</w:t>
      </w:r>
      <w:r w:rsidR="00335E84">
        <w:t xml:space="preserve"> and private markets, and not just domestic banks and markets </w:t>
      </w:r>
      <w:r w:rsidR="00D73B6A">
        <w:t xml:space="preserve">but also </w:t>
      </w:r>
      <w:r w:rsidR="00D73B6A" w:rsidRPr="00D73B6A">
        <w:rPr>
          <w:u w:val="single"/>
        </w:rPr>
        <w:t>international</w:t>
      </w:r>
      <w:r w:rsidR="00405A41">
        <w:t xml:space="preserve"> banks and markets.</w:t>
      </w:r>
      <w:r w:rsidR="00335E84">
        <w:t xml:space="preserve">  The Fed-Treasury Accord of </w:t>
      </w:r>
      <w:r w:rsidR="00335E84">
        <w:lastRenderedPageBreak/>
        <w:t xml:space="preserve">1951 marked a new comfort </w:t>
      </w:r>
      <w:r w:rsidR="002C0A2E">
        <w:t>with the emerging</w:t>
      </w:r>
      <w:r w:rsidR="009D7295">
        <w:t xml:space="preserve"> relationship between the central bank and </w:t>
      </w:r>
      <w:r w:rsidR="002C0A2E">
        <w:t>Big Government</w:t>
      </w:r>
      <w:r w:rsidR="009D7295">
        <w:t>.  The analogous Accord</w:t>
      </w:r>
      <w:r w:rsidR="002C0A2E">
        <w:t>s</w:t>
      </w:r>
      <w:r w:rsidR="009D7295">
        <w:t xml:space="preserve"> for Big Finance and the Big World are, as of yet, nowhere in sight.</w:t>
      </w:r>
    </w:p>
    <w:p w:rsidR="009E292D" w:rsidRDefault="009E292D" w:rsidP="0019030B"/>
    <w:p w:rsidR="00A93302" w:rsidRDefault="00A93302" w:rsidP="0019030B"/>
    <w:p w:rsidR="003F6E3E" w:rsidRDefault="003F6E3E" w:rsidP="0019030B"/>
    <w:p w:rsidR="006E5B80" w:rsidRDefault="0027291B">
      <w:r>
        <w:br w:type="page"/>
      </w:r>
    </w:p>
    <w:p w:rsidR="007E5AF6" w:rsidRDefault="00CA377E">
      <w:r>
        <w:lastRenderedPageBreak/>
        <w:t>Figure 1:  Shadow Banking as (Jimmy Stewart) Banking</w:t>
      </w:r>
    </w:p>
    <w:p w:rsidR="00FB30D1" w:rsidRDefault="00FB30D1"/>
    <w:p w:rsidR="006E5B80" w:rsidRDefault="006E5B80">
      <w:r>
        <w:t xml:space="preserve">        Securitization Trust</w:t>
      </w:r>
      <w:r>
        <w:tab/>
      </w:r>
      <w:r>
        <w:tab/>
      </w:r>
      <w:r>
        <w:tab/>
        <w:t xml:space="preserve"> Investment Bank</w:t>
      </w:r>
      <w:r>
        <w:tab/>
      </w:r>
      <w:r>
        <w:tab/>
        <w:t xml:space="preserve">    Insurance Company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E5B80" w:rsidTr="006E5B80">
        <w:tc>
          <w:tcPr>
            <w:tcW w:w="1596" w:type="dxa"/>
          </w:tcPr>
          <w:p w:rsidR="006E5B80" w:rsidRDefault="006E5B80" w:rsidP="0019030B">
            <w:r>
              <w:t>Assets</w:t>
            </w:r>
          </w:p>
        </w:tc>
        <w:tc>
          <w:tcPr>
            <w:tcW w:w="1596" w:type="dxa"/>
          </w:tcPr>
          <w:p w:rsidR="006E5B80" w:rsidRDefault="006E5B80" w:rsidP="0019030B">
            <w:r>
              <w:t>Liabilities</w:t>
            </w:r>
          </w:p>
        </w:tc>
        <w:tc>
          <w:tcPr>
            <w:tcW w:w="1596" w:type="dxa"/>
          </w:tcPr>
          <w:p w:rsidR="006E5B80" w:rsidRDefault="006E5B80" w:rsidP="0019030B">
            <w:r>
              <w:t>Assets</w:t>
            </w:r>
          </w:p>
        </w:tc>
        <w:tc>
          <w:tcPr>
            <w:tcW w:w="1596" w:type="dxa"/>
          </w:tcPr>
          <w:p w:rsidR="006E5B80" w:rsidRDefault="006E5B80" w:rsidP="0019030B">
            <w:r>
              <w:t>Liabilities</w:t>
            </w:r>
          </w:p>
        </w:tc>
        <w:tc>
          <w:tcPr>
            <w:tcW w:w="1596" w:type="dxa"/>
          </w:tcPr>
          <w:p w:rsidR="006E5B80" w:rsidRDefault="006E5B80" w:rsidP="0019030B">
            <w:r>
              <w:t>Assets</w:t>
            </w:r>
          </w:p>
        </w:tc>
        <w:tc>
          <w:tcPr>
            <w:tcW w:w="1596" w:type="dxa"/>
          </w:tcPr>
          <w:p w:rsidR="006E5B80" w:rsidRDefault="006E5B80" w:rsidP="0019030B">
            <w:r>
              <w:t>Liabilities</w:t>
            </w:r>
          </w:p>
        </w:tc>
      </w:tr>
      <w:tr w:rsidR="006E5B80" w:rsidTr="006E5B80">
        <w:tc>
          <w:tcPr>
            <w:tcW w:w="1596" w:type="dxa"/>
          </w:tcPr>
          <w:p w:rsidR="006E5B80" w:rsidRDefault="006E5B80" w:rsidP="0019030B">
            <w:r>
              <w:t>RMBS</w:t>
            </w:r>
          </w:p>
        </w:tc>
        <w:tc>
          <w:tcPr>
            <w:tcW w:w="1596" w:type="dxa"/>
          </w:tcPr>
          <w:p w:rsidR="006E5B80" w:rsidRDefault="006E5B80" w:rsidP="0019030B">
            <w:r>
              <w:t>Hi tranche</w:t>
            </w:r>
          </w:p>
          <w:p w:rsidR="006E5B80" w:rsidRDefault="006E5B80" w:rsidP="0019030B">
            <w:r>
              <w:t>Mid tranche</w:t>
            </w:r>
          </w:p>
          <w:p w:rsidR="006E5B80" w:rsidRDefault="006E5B80" w:rsidP="0019030B">
            <w:r>
              <w:t>Lo tranche</w:t>
            </w:r>
          </w:p>
        </w:tc>
        <w:tc>
          <w:tcPr>
            <w:tcW w:w="1596" w:type="dxa"/>
          </w:tcPr>
          <w:p w:rsidR="006E5B80" w:rsidRDefault="006E5B80" w:rsidP="0019030B">
            <w:r>
              <w:t>Loans</w:t>
            </w:r>
          </w:p>
        </w:tc>
        <w:tc>
          <w:tcPr>
            <w:tcW w:w="1596" w:type="dxa"/>
          </w:tcPr>
          <w:p w:rsidR="006E5B80" w:rsidRDefault="006E5B80" w:rsidP="0019030B"/>
        </w:tc>
        <w:tc>
          <w:tcPr>
            <w:tcW w:w="1596" w:type="dxa"/>
          </w:tcPr>
          <w:p w:rsidR="006E5B80" w:rsidRDefault="006E5B80" w:rsidP="0019030B"/>
        </w:tc>
        <w:tc>
          <w:tcPr>
            <w:tcW w:w="1596" w:type="dxa"/>
          </w:tcPr>
          <w:p w:rsidR="006E5B80" w:rsidRDefault="007E5AF6" w:rsidP="0019030B">
            <w:r>
              <w:t>Hi CDS</w:t>
            </w:r>
          </w:p>
        </w:tc>
      </w:tr>
    </w:tbl>
    <w:p w:rsidR="002B080F" w:rsidRDefault="002B080F" w:rsidP="0019030B"/>
    <w:p w:rsidR="006E5B80" w:rsidRDefault="006E5B80" w:rsidP="0019030B">
      <w:r>
        <w:t xml:space="preserve">           </w:t>
      </w:r>
      <w:r w:rsidRPr="00C31AAD">
        <w:rPr>
          <w:b/>
        </w:rPr>
        <w:t>Shadow Bank</w:t>
      </w:r>
      <w:r>
        <w:tab/>
      </w:r>
      <w:r>
        <w:tab/>
      </w:r>
      <w:r>
        <w:tab/>
        <w:t xml:space="preserve">     Pension Fund</w:t>
      </w:r>
      <w:r>
        <w:tab/>
      </w:r>
      <w:r>
        <w:tab/>
      </w:r>
      <w:r>
        <w:tab/>
        <w:t xml:space="preserve"> Hedge Fund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E5B80" w:rsidTr="006E5B80">
        <w:tc>
          <w:tcPr>
            <w:tcW w:w="1596" w:type="dxa"/>
          </w:tcPr>
          <w:p w:rsidR="006E5B80" w:rsidRDefault="006E5B80" w:rsidP="0019030B">
            <w:r>
              <w:t>Assets</w:t>
            </w:r>
          </w:p>
        </w:tc>
        <w:tc>
          <w:tcPr>
            <w:tcW w:w="1596" w:type="dxa"/>
          </w:tcPr>
          <w:p w:rsidR="006E5B80" w:rsidRDefault="006E5B80" w:rsidP="0019030B">
            <w:r>
              <w:t>Liabilities</w:t>
            </w:r>
          </w:p>
        </w:tc>
        <w:tc>
          <w:tcPr>
            <w:tcW w:w="1596" w:type="dxa"/>
          </w:tcPr>
          <w:p w:rsidR="006E5B80" w:rsidRDefault="006E5B80" w:rsidP="0019030B">
            <w:r>
              <w:t>Assets</w:t>
            </w:r>
          </w:p>
        </w:tc>
        <w:tc>
          <w:tcPr>
            <w:tcW w:w="1596" w:type="dxa"/>
          </w:tcPr>
          <w:p w:rsidR="006E5B80" w:rsidRDefault="006E5B80" w:rsidP="0019030B">
            <w:r>
              <w:t>Liabilities</w:t>
            </w:r>
          </w:p>
        </w:tc>
        <w:tc>
          <w:tcPr>
            <w:tcW w:w="1596" w:type="dxa"/>
          </w:tcPr>
          <w:p w:rsidR="006E5B80" w:rsidRDefault="006E5B80" w:rsidP="0019030B">
            <w:r>
              <w:t>Assets</w:t>
            </w:r>
          </w:p>
        </w:tc>
        <w:tc>
          <w:tcPr>
            <w:tcW w:w="1596" w:type="dxa"/>
          </w:tcPr>
          <w:p w:rsidR="006E5B80" w:rsidRDefault="006E5B80" w:rsidP="0019030B">
            <w:r>
              <w:t>Liabilities</w:t>
            </w:r>
          </w:p>
        </w:tc>
      </w:tr>
      <w:tr w:rsidR="006E5B80" w:rsidTr="006E5B80">
        <w:tc>
          <w:tcPr>
            <w:tcW w:w="1596" w:type="dxa"/>
          </w:tcPr>
          <w:p w:rsidR="007E5AF6" w:rsidRPr="00C31AAD" w:rsidRDefault="00405A41" w:rsidP="0019030B">
            <w:pPr>
              <w:rPr>
                <w:b/>
              </w:rPr>
            </w:pPr>
            <w:r>
              <w:rPr>
                <w:b/>
              </w:rPr>
              <w:t>Hi tranche</w:t>
            </w:r>
          </w:p>
          <w:p w:rsidR="007E5AF6" w:rsidRDefault="007E5AF6" w:rsidP="0019030B">
            <w:pPr>
              <w:rPr>
                <w:b/>
              </w:rPr>
            </w:pPr>
            <w:r w:rsidRPr="00C31AAD">
              <w:rPr>
                <w:b/>
              </w:rPr>
              <w:t>Hi CDS</w:t>
            </w:r>
          </w:p>
          <w:p w:rsidR="00405A41" w:rsidRPr="00C31AAD" w:rsidRDefault="00405A41" w:rsidP="0019030B">
            <w:pPr>
              <w:rPr>
                <w:b/>
              </w:rPr>
            </w:pPr>
            <w:r>
              <w:rPr>
                <w:b/>
              </w:rPr>
              <w:t>Liquidity Put</w:t>
            </w:r>
          </w:p>
        </w:tc>
        <w:tc>
          <w:tcPr>
            <w:tcW w:w="1596" w:type="dxa"/>
          </w:tcPr>
          <w:p w:rsidR="006E5B80" w:rsidRPr="00C31AAD" w:rsidRDefault="006E5B80" w:rsidP="0019030B">
            <w:pPr>
              <w:rPr>
                <w:b/>
              </w:rPr>
            </w:pPr>
            <w:r w:rsidRPr="00C31AAD">
              <w:rPr>
                <w:b/>
              </w:rPr>
              <w:t>MM funding</w:t>
            </w:r>
          </w:p>
        </w:tc>
        <w:tc>
          <w:tcPr>
            <w:tcW w:w="1596" w:type="dxa"/>
          </w:tcPr>
          <w:p w:rsidR="006E5B80" w:rsidRDefault="006E5B80" w:rsidP="0019030B">
            <w:r>
              <w:t>Mid tranche</w:t>
            </w:r>
          </w:p>
        </w:tc>
        <w:tc>
          <w:tcPr>
            <w:tcW w:w="1596" w:type="dxa"/>
          </w:tcPr>
          <w:p w:rsidR="006E5B80" w:rsidRDefault="006E5B80" w:rsidP="0019030B">
            <w:r>
              <w:t>Pension liabilities</w:t>
            </w:r>
          </w:p>
        </w:tc>
        <w:tc>
          <w:tcPr>
            <w:tcW w:w="1596" w:type="dxa"/>
          </w:tcPr>
          <w:p w:rsidR="006E5B80" w:rsidRDefault="006E5B80" w:rsidP="0019030B">
            <w:r>
              <w:t>Lo tranche</w:t>
            </w:r>
          </w:p>
        </w:tc>
        <w:tc>
          <w:tcPr>
            <w:tcW w:w="1596" w:type="dxa"/>
          </w:tcPr>
          <w:p w:rsidR="006E5B80" w:rsidRDefault="006E5B80" w:rsidP="0019030B">
            <w:r>
              <w:t>Loans</w:t>
            </w:r>
          </w:p>
          <w:p w:rsidR="006E5B80" w:rsidRDefault="006E5B80" w:rsidP="0019030B">
            <w:r>
              <w:t>Capital</w:t>
            </w:r>
          </w:p>
        </w:tc>
      </w:tr>
    </w:tbl>
    <w:p w:rsidR="006E5B80" w:rsidRDefault="006E5B80" w:rsidP="0019030B"/>
    <w:p w:rsidR="00781C3D" w:rsidRDefault="00781C3D">
      <w:r>
        <w:br w:type="page"/>
      </w:r>
    </w:p>
    <w:p w:rsidR="00781C3D" w:rsidRDefault="00781C3D" w:rsidP="00781C3D">
      <w:r>
        <w:lastRenderedPageBreak/>
        <w:t>Figure 2:  Shadow Banking as Financial Globalization</w:t>
      </w:r>
    </w:p>
    <w:p w:rsidR="00781C3D" w:rsidRDefault="00781C3D" w:rsidP="00781C3D"/>
    <w:p w:rsidR="00781C3D" w:rsidRDefault="00781C3D" w:rsidP="00781C3D">
      <w:r>
        <w:tab/>
        <w:t>Shadow Bank</w:t>
      </w:r>
      <w:r>
        <w:tab/>
      </w:r>
      <w:r>
        <w:tab/>
      </w:r>
      <w:r>
        <w:tab/>
        <w:t xml:space="preserve">      Global Funding</w:t>
      </w:r>
      <w:r>
        <w:tab/>
      </w:r>
      <w:r>
        <w:tab/>
      </w:r>
      <w:r>
        <w:tab/>
      </w:r>
      <w:r w:rsidR="00AF7534">
        <w:t>Asset Manager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81C3D" w:rsidTr="00A568AA">
        <w:tc>
          <w:tcPr>
            <w:tcW w:w="1596" w:type="dxa"/>
          </w:tcPr>
          <w:p w:rsidR="00781C3D" w:rsidRDefault="00781C3D" w:rsidP="00A568AA">
            <w:r>
              <w:t>Assets</w:t>
            </w:r>
          </w:p>
        </w:tc>
        <w:tc>
          <w:tcPr>
            <w:tcW w:w="1596" w:type="dxa"/>
          </w:tcPr>
          <w:p w:rsidR="00781C3D" w:rsidRDefault="00781C3D" w:rsidP="00A568AA">
            <w:r>
              <w:t>Liabilities</w:t>
            </w:r>
          </w:p>
        </w:tc>
        <w:tc>
          <w:tcPr>
            <w:tcW w:w="1596" w:type="dxa"/>
          </w:tcPr>
          <w:p w:rsidR="00781C3D" w:rsidRDefault="00781C3D" w:rsidP="00A568AA">
            <w:r>
              <w:t>Assets</w:t>
            </w:r>
          </w:p>
        </w:tc>
        <w:tc>
          <w:tcPr>
            <w:tcW w:w="1596" w:type="dxa"/>
          </w:tcPr>
          <w:p w:rsidR="00781C3D" w:rsidRDefault="00781C3D" w:rsidP="00A568AA">
            <w:r>
              <w:t>Liabilities</w:t>
            </w:r>
          </w:p>
        </w:tc>
        <w:tc>
          <w:tcPr>
            <w:tcW w:w="1596" w:type="dxa"/>
          </w:tcPr>
          <w:p w:rsidR="00781C3D" w:rsidRDefault="00781C3D" w:rsidP="00A568AA">
            <w:r>
              <w:t>Assets</w:t>
            </w:r>
          </w:p>
        </w:tc>
        <w:tc>
          <w:tcPr>
            <w:tcW w:w="1596" w:type="dxa"/>
          </w:tcPr>
          <w:p w:rsidR="00781C3D" w:rsidRDefault="00781C3D" w:rsidP="00A568AA">
            <w:r>
              <w:t>Liabilities</w:t>
            </w:r>
          </w:p>
        </w:tc>
      </w:tr>
      <w:tr w:rsidR="00781C3D" w:rsidTr="00A568AA">
        <w:tc>
          <w:tcPr>
            <w:tcW w:w="1596" w:type="dxa"/>
          </w:tcPr>
          <w:p w:rsidR="00781C3D" w:rsidRDefault="00781C3D" w:rsidP="00A568AA">
            <w:r>
              <w:t>RMBS</w:t>
            </w:r>
          </w:p>
          <w:p w:rsidR="00781C3D" w:rsidRDefault="00781C3D" w:rsidP="00A568AA"/>
          <w:p w:rsidR="00781C3D" w:rsidRDefault="00781C3D" w:rsidP="00A568AA">
            <w:r>
              <w:t>CDS</w:t>
            </w:r>
          </w:p>
          <w:p w:rsidR="00781C3D" w:rsidRDefault="00781C3D" w:rsidP="00A568AA">
            <w:r>
              <w:t>IRS</w:t>
            </w:r>
          </w:p>
        </w:tc>
        <w:tc>
          <w:tcPr>
            <w:tcW w:w="1596" w:type="dxa"/>
          </w:tcPr>
          <w:p w:rsidR="00781C3D" w:rsidRDefault="00781C3D" w:rsidP="00AF7534">
            <w:r>
              <w:t>MM f</w:t>
            </w:r>
            <w:r w:rsidR="00AF7534">
              <w:t>u</w:t>
            </w:r>
            <w:r>
              <w:t>nding</w:t>
            </w:r>
          </w:p>
        </w:tc>
        <w:tc>
          <w:tcPr>
            <w:tcW w:w="1596" w:type="dxa"/>
          </w:tcPr>
          <w:p w:rsidR="00781C3D" w:rsidRDefault="00781C3D" w:rsidP="00A568AA">
            <w:r>
              <w:t>MM funding</w:t>
            </w:r>
          </w:p>
          <w:p w:rsidR="00781C3D" w:rsidRDefault="00781C3D" w:rsidP="00A568AA"/>
          <w:p w:rsidR="00781C3D" w:rsidRDefault="00781C3D" w:rsidP="00A568AA"/>
          <w:p w:rsidR="00781C3D" w:rsidRDefault="00405A41" w:rsidP="00A568AA">
            <w:r>
              <w:t>Liquidity put</w:t>
            </w:r>
          </w:p>
        </w:tc>
        <w:tc>
          <w:tcPr>
            <w:tcW w:w="1596" w:type="dxa"/>
          </w:tcPr>
          <w:p w:rsidR="00781C3D" w:rsidRDefault="00781C3D" w:rsidP="00F34121">
            <w:r>
              <w:t>“deposits”</w:t>
            </w:r>
          </w:p>
        </w:tc>
        <w:tc>
          <w:tcPr>
            <w:tcW w:w="1596" w:type="dxa"/>
          </w:tcPr>
          <w:p w:rsidR="00781C3D" w:rsidRDefault="00781C3D" w:rsidP="00A568AA">
            <w:r>
              <w:t>“deposits”</w:t>
            </w:r>
          </w:p>
        </w:tc>
        <w:tc>
          <w:tcPr>
            <w:tcW w:w="1596" w:type="dxa"/>
          </w:tcPr>
          <w:p w:rsidR="00781C3D" w:rsidRDefault="00AF7534" w:rsidP="00A568AA">
            <w:r>
              <w:t xml:space="preserve">Client capital </w:t>
            </w:r>
          </w:p>
          <w:p w:rsidR="00AF7534" w:rsidRDefault="00AF7534" w:rsidP="00A568AA"/>
          <w:p w:rsidR="00781C3D" w:rsidRDefault="00781C3D" w:rsidP="00A568AA">
            <w:r>
              <w:t>CDS</w:t>
            </w:r>
            <w:r>
              <w:br/>
              <w:t>IRS</w:t>
            </w:r>
          </w:p>
        </w:tc>
      </w:tr>
    </w:tbl>
    <w:p w:rsidR="00781C3D" w:rsidRDefault="00781C3D" w:rsidP="00781C3D"/>
    <w:p w:rsidR="00781C3D" w:rsidRDefault="00781C3D" w:rsidP="00781C3D">
      <w:pPr>
        <w:ind w:firstLine="720"/>
      </w:pPr>
      <w:r>
        <w:tab/>
      </w:r>
      <w:r>
        <w:tab/>
      </w:r>
      <w:r>
        <w:tab/>
      </w:r>
      <w:r>
        <w:tab/>
        <w:t xml:space="preserve">   Derivative Dealer</w:t>
      </w:r>
    </w:p>
    <w:tbl>
      <w:tblPr>
        <w:tblStyle w:val="TableGrid"/>
        <w:tblW w:w="0" w:type="auto"/>
        <w:tblInd w:w="3168" w:type="dxa"/>
        <w:tblLook w:val="04A0" w:firstRow="1" w:lastRow="0" w:firstColumn="1" w:lastColumn="0" w:noHBand="0" w:noVBand="1"/>
      </w:tblPr>
      <w:tblGrid>
        <w:gridCol w:w="1620"/>
        <w:gridCol w:w="1620"/>
      </w:tblGrid>
      <w:tr w:rsidR="00781C3D" w:rsidTr="00A568AA">
        <w:tc>
          <w:tcPr>
            <w:tcW w:w="1620" w:type="dxa"/>
          </w:tcPr>
          <w:p w:rsidR="00781C3D" w:rsidRDefault="00781C3D" w:rsidP="00A568AA">
            <w:r>
              <w:t>Assets</w:t>
            </w:r>
          </w:p>
        </w:tc>
        <w:tc>
          <w:tcPr>
            <w:tcW w:w="1620" w:type="dxa"/>
          </w:tcPr>
          <w:p w:rsidR="00781C3D" w:rsidRDefault="00781C3D" w:rsidP="00A568AA">
            <w:r>
              <w:t>Liabilities</w:t>
            </w:r>
          </w:p>
        </w:tc>
      </w:tr>
      <w:tr w:rsidR="00781C3D" w:rsidTr="00A568AA">
        <w:tc>
          <w:tcPr>
            <w:tcW w:w="1620" w:type="dxa"/>
          </w:tcPr>
          <w:p w:rsidR="00781C3D" w:rsidRDefault="00781C3D" w:rsidP="00A568AA">
            <w:r>
              <w:t>CDS</w:t>
            </w:r>
          </w:p>
          <w:p w:rsidR="00781C3D" w:rsidRDefault="00781C3D" w:rsidP="00781C3D">
            <w:r>
              <w:t>IRS</w:t>
            </w:r>
          </w:p>
          <w:p w:rsidR="00405A41" w:rsidRDefault="00405A41" w:rsidP="00781C3D">
            <w:r>
              <w:t>Liquidity put</w:t>
            </w:r>
          </w:p>
        </w:tc>
        <w:tc>
          <w:tcPr>
            <w:tcW w:w="1620" w:type="dxa"/>
          </w:tcPr>
          <w:p w:rsidR="00781C3D" w:rsidRDefault="00781C3D" w:rsidP="00A568AA">
            <w:r>
              <w:t>CDS</w:t>
            </w:r>
          </w:p>
          <w:p w:rsidR="00781C3D" w:rsidRDefault="00781C3D" w:rsidP="00A568AA">
            <w:r>
              <w:t>IRS</w:t>
            </w:r>
          </w:p>
        </w:tc>
      </w:tr>
    </w:tbl>
    <w:p w:rsidR="00781C3D" w:rsidRDefault="00781C3D" w:rsidP="00781C3D"/>
    <w:p w:rsidR="007E5AF6" w:rsidRDefault="00781C3D">
      <w:r>
        <w:br w:type="page"/>
      </w:r>
    </w:p>
    <w:p w:rsidR="007E5AF6" w:rsidRDefault="0008132E" w:rsidP="0019030B">
      <w:r>
        <w:lastRenderedPageBreak/>
        <w:t>Figure 3:   Risk Transfer Development, Stage One</w:t>
      </w:r>
    </w:p>
    <w:p w:rsidR="00FB30D1" w:rsidRDefault="00FB30D1" w:rsidP="0019030B"/>
    <w:p w:rsidR="007E5AF6" w:rsidRDefault="007E5AF6" w:rsidP="007E5AF6">
      <w:r>
        <w:t xml:space="preserve">        Securitization Trust</w:t>
      </w:r>
      <w:r>
        <w:tab/>
      </w:r>
      <w:r>
        <w:tab/>
      </w:r>
      <w:r>
        <w:tab/>
        <w:t xml:space="preserve"> Investment Bank</w:t>
      </w:r>
      <w:r>
        <w:tab/>
      </w:r>
      <w:r>
        <w:tab/>
        <w:t xml:space="preserve">    Insurance Company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E5AF6" w:rsidTr="00A568AA">
        <w:tc>
          <w:tcPr>
            <w:tcW w:w="1596" w:type="dxa"/>
          </w:tcPr>
          <w:p w:rsidR="007E5AF6" w:rsidRDefault="007E5AF6" w:rsidP="00A568AA">
            <w:r>
              <w:t>Assets</w:t>
            </w:r>
          </w:p>
        </w:tc>
        <w:tc>
          <w:tcPr>
            <w:tcW w:w="1596" w:type="dxa"/>
          </w:tcPr>
          <w:p w:rsidR="007E5AF6" w:rsidRDefault="007E5AF6" w:rsidP="00A568AA">
            <w:r>
              <w:t>Liabilities</w:t>
            </w:r>
          </w:p>
        </w:tc>
        <w:tc>
          <w:tcPr>
            <w:tcW w:w="1596" w:type="dxa"/>
          </w:tcPr>
          <w:p w:rsidR="007E5AF6" w:rsidRDefault="007E5AF6" w:rsidP="00A568AA">
            <w:r>
              <w:t>Assets</w:t>
            </w:r>
          </w:p>
        </w:tc>
        <w:tc>
          <w:tcPr>
            <w:tcW w:w="1596" w:type="dxa"/>
          </w:tcPr>
          <w:p w:rsidR="007E5AF6" w:rsidRDefault="007E5AF6" w:rsidP="00A568AA">
            <w:r>
              <w:t>Liabilities</w:t>
            </w:r>
          </w:p>
        </w:tc>
        <w:tc>
          <w:tcPr>
            <w:tcW w:w="1596" w:type="dxa"/>
          </w:tcPr>
          <w:p w:rsidR="007E5AF6" w:rsidRDefault="007E5AF6" w:rsidP="00A568AA">
            <w:r>
              <w:t>Assets</w:t>
            </w:r>
          </w:p>
        </w:tc>
        <w:tc>
          <w:tcPr>
            <w:tcW w:w="1596" w:type="dxa"/>
          </w:tcPr>
          <w:p w:rsidR="007E5AF6" w:rsidRDefault="007E5AF6" w:rsidP="00A568AA">
            <w:r>
              <w:t>Liabilities</w:t>
            </w:r>
          </w:p>
        </w:tc>
      </w:tr>
      <w:tr w:rsidR="007E5AF6" w:rsidTr="00A568AA">
        <w:tc>
          <w:tcPr>
            <w:tcW w:w="1596" w:type="dxa"/>
          </w:tcPr>
          <w:p w:rsidR="007E5AF6" w:rsidRDefault="007E5AF6" w:rsidP="00A568AA">
            <w:r>
              <w:t>RMBS</w:t>
            </w:r>
          </w:p>
        </w:tc>
        <w:tc>
          <w:tcPr>
            <w:tcW w:w="1596" w:type="dxa"/>
          </w:tcPr>
          <w:p w:rsidR="007E5AF6" w:rsidRDefault="007E5AF6" w:rsidP="00A568AA">
            <w:r>
              <w:t>Hi tranche</w:t>
            </w:r>
          </w:p>
          <w:p w:rsidR="007E5AF6" w:rsidRDefault="007E5AF6" w:rsidP="00A568AA">
            <w:r>
              <w:t>Mid tranche</w:t>
            </w:r>
          </w:p>
          <w:p w:rsidR="007E5AF6" w:rsidRDefault="007E5AF6" w:rsidP="00A568AA">
            <w:r>
              <w:t>Lo tranche</w:t>
            </w:r>
          </w:p>
        </w:tc>
        <w:tc>
          <w:tcPr>
            <w:tcW w:w="1596" w:type="dxa"/>
          </w:tcPr>
          <w:p w:rsidR="007E5AF6" w:rsidRDefault="007E5AF6" w:rsidP="00A568AA">
            <w:r>
              <w:t>Loans</w:t>
            </w:r>
          </w:p>
          <w:p w:rsidR="00FB30D1" w:rsidRPr="00F34121" w:rsidRDefault="00FB30D1" w:rsidP="00A568AA">
            <w:pPr>
              <w:rPr>
                <w:b/>
              </w:rPr>
            </w:pPr>
            <w:r w:rsidRPr="00F34121">
              <w:rPr>
                <w:b/>
              </w:rPr>
              <w:t>Hi CDS</w:t>
            </w:r>
          </w:p>
        </w:tc>
        <w:tc>
          <w:tcPr>
            <w:tcW w:w="1596" w:type="dxa"/>
          </w:tcPr>
          <w:p w:rsidR="007E5AF6" w:rsidRDefault="007E5AF6" w:rsidP="00A568AA"/>
          <w:p w:rsidR="00FB30D1" w:rsidRPr="00F34121" w:rsidRDefault="00FB30D1" w:rsidP="00A568AA">
            <w:pPr>
              <w:rPr>
                <w:b/>
              </w:rPr>
            </w:pPr>
            <w:r w:rsidRPr="00F34121">
              <w:rPr>
                <w:b/>
              </w:rPr>
              <w:t>Mid CDS</w:t>
            </w:r>
          </w:p>
          <w:p w:rsidR="00FB30D1" w:rsidRDefault="00FB30D1" w:rsidP="00A568AA"/>
        </w:tc>
        <w:tc>
          <w:tcPr>
            <w:tcW w:w="1596" w:type="dxa"/>
          </w:tcPr>
          <w:p w:rsidR="007E5AF6" w:rsidRDefault="007E5AF6" w:rsidP="00A568AA"/>
        </w:tc>
        <w:tc>
          <w:tcPr>
            <w:tcW w:w="1596" w:type="dxa"/>
          </w:tcPr>
          <w:p w:rsidR="007E5AF6" w:rsidRDefault="007E5AF6" w:rsidP="00A568AA">
            <w:r>
              <w:t>Hi CDS</w:t>
            </w:r>
            <w:r w:rsidR="00F34121">
              <w:t xml:space="preserve"> (SB)</w:t>
            </w:r>
          </w:p>
          <w:p w:rsidR="00F34121" w:rsidRPr="00F34121" w:rsidRDefault="00F34121" w:rsidP="00A568AA">
            <w:pPr>
              <w:rPr>
                <w:b/>
              </w:rPr>
            </w:pPr>
            <w:r w:rsidRPr="00F34121">
              <w:rPr>
                <w:b/>
              </w:rPr>
              <w:t>Hi CDS (IB)</w:t>
            </w:r>
          </w:p>
        </w:tc>
      </w:tr>
    </w:tbl>
    <w:p w:rsidR="007E5AF6" w:rsidRDefault="007E5AF6" w:rsidP="007E5AF6"/>
    <w:p w:rsidR="007E5AF6" w:rsidRDefault="007E5AF6" w:rsidP="007E5AF6">
      <w:r>
        <w:t xml:space="preserve">           Shadow Bank</w:t>
      </w:r>
      <w:r>
        <w:tab/>
      </w:r>
      <w:r>
        <w:tab/>
      </w:r>
      <w:r>
        <w:tab/>
        <w:t xml:space="preserve">     Pension Fund</w:t>
      </w:r>
      <w:r>
        <w:tab/>
      </w:r>
      <w:r>
        <w:tab/>
      </w:r>
      <w:r>
        <w:tab/>
        <w:t xml:space="preserve"> Hedge Fund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E5AF6" w:rsidTr="00A568AA">
        <w:tc>
          <w:tcPr>
            <w:tcW w:w="1596" w:type="dxa"/>
          </w:tcPr>
          <w:p w:rsidR="007E5AF6" w:rsidRDefault="007E5AF6" w:rsidP="00A568AA">
            <w:r>
              <w:t>Assets</w:t>
            </w:r>
          </w:p>
        </w:tc>
        <w:tc>
          <w:tcPr>
            <w:tcW w:w="1596" w:type="dxa"/>
          </w:tcPr>
          <w:p w:rsidR="007E5AF6" w:rsidRDefault="007E5AF6" w:rsidP="00A568AA">
            <w:r>
              <w:t>Liabilities</w:t>
            </w:r>
          </w:p>
        </w:tc>
        <w:tc>
          <w:tcPr>
            <w:tcW w:w="1596" w:type="dxa"/>
          </w:tcPr>
          <w:p w:rsidR="007E5AF6" w:rsidRDefault="007E5AF6" w:rsidP="00A568AA">
            <w:r>
              <w:t>Assets</w:t>
            </w:r>
          </w:p>
        </w:tc>
        <w:tc>
          <w:tcPr>
            <w:tcW w:w="1596" w:type="dxa"/>
          </w:tcPr>
          <w:p w:rsidR="007E5AF6" w:rsidRDefault="007E5AF6" w:rsidP="00A568AA">
            <w:r>
              <w:t>Liabilities</w:t>
            </w:r>
          </w:p>
        </w:tc>
        <w:tc>
          <w:tcPr>
            <w:tcW w:w="1596" w:type="dxa"/>
          </w:tcPr>
          <w:p w:rsidR="007E5AF6" w:rsidRDefault="007E5AF6" w:rsidP="00A568AA">
            <w:r>
              <w:t>Assets</w:t>
            </w:r>
          </w:p>
        </w:tc>
        <w:tc>
          <w:tcPr>
            <w:tcW w:w="1596" w:type="dxa"/>
          </w:tcPr>
          <w:p w:rsidR="007E5AF6" w:rsidRDefault="007E5AF6" w:rsidP="00A568AA">
            <w:r>
              <w:t>Liabilities</w:t>
            </w:r>
          </w:p>
        </w:tc>
      </w:tr>
      <w:tr w:rsidR="007E5AF6" w:rsidTr="00A568AA">
        <w:tc>
          <w:tcPr>
            <w:tcW w:w="1596" w:type="dxa"/>
          </w:tcPr>
          <w:p w:rsidR="007E5AF6" w:rsidRDefault="00405A41" w:rsidP="00A568AA">
            <w:r>
              <w:t>Hi tranche</w:t>
            </w:r>
          </w:p>
          <w:p w:rsidR="007E5AF6" w:rsidRDefault="007E5AF6" w:rsidP="00A568AA">
            <w:r>
              <w:t>Hi CDS</w:t>
            </w:r>
          </w:p>
          <w:p w:rsidR="00405A41" w:rsidRDefault="00405A41" w:rsidP="00A568AA">
            <w:r>
              <w:t>Liquidity Put</w:t>
            </w:r>
          </w:p>
        </w:tc>
        <w:tc>
          <w:tcPr>
            <w:tcW w:w="1596" w:type="dxa"/>
          </w:tcPr>
          <w:p w:rsidR="007E5AF6" w:rsidRDefault="007E5AF6" w:rsidP="00A568AA">
            <w:r>
              <w:t>MM funding</w:t>
            </w:r>
          </w:p>
        </w:tc>
        <w:tc>
          <w:tcPr>
            <w:tcW w:w="1596" w:type="dxa"/>
          </w:tcPr>
          <w:p w:rsidR="007E5AF6" w:rsidRDefault="007E5AF6" w:rsidP="00A568AA">
            <w:r>
              <w:t>Mid tranche</w:t>
            </w:r>
          </w:p>
          <w:p w:rsidR="00FB30D1" w:rsidRDefault="00FB30D1" w:rsidP="00A568AA"/>
        </w:tc>
        <w:tc>
          <w:tcPr>
            <w:tcW w:w="1596" w:type="dxa"/>
          </w:tcPr>
          <w:p w:rsidR="007E5AF6" w:rsidRDefault="007E5AF6" w:rsidP="00A568AA">
            <w:r>
              <w:t>Pension liabilities</w:t>
            </w:r>
          </w:p>
        </w:tc>
        <w:tc>
          <w:tcPr>
            <w:tcW w:w="1596" w:type="dxa"/>
          </w:tcPr>
          <w:p w:rsidR="007E5AF6" w:rsidRDefault="007E5AF6" w:rsidP="00A568AA">
            <w:r>
              <w:t>Lo tranche</w:t>
            </w:r>
          </w:p>
          <w:p w:rsidR="00FB30D1" w:rsidRPr="00F34121" w:rsidRDefault="00075CEE" w:rsidP="00A568AA">
            <w:pPr>
              <w:rPr>
                <w:b/>
              </w:rPr>
            </w:pPr>
            <w:r w:rsidRPr="00F34121">
              <w:rPr>
                <w:b/>
              </w:rPr>
              <w:t>Mid CDS</w:t>
            </w:r>
          </w:p>
        </w:tc>
        <w:tc>
          <w:tcPr>
            <w:tcW w:w="1596" w:type="dxa"/>
          </w:tcPr>
          <w:p w:rsidR="007E5AF6" w:rsidRDefault="007E5AF6" w:rsidP="00A568AA">
            <w:r>
              <w:t>Loans</w:t>
            </w:r>
          </w:p>
          <w:p w:rsidR="007E5AF6" w:rsidRDefault="007E5AF6" w:rsidP="00A568AA">
            <w:r>
              <w:t>Capital</w:t>
            </w:r>
          </w:p>
        </w:tc>
      </w:tr>
    </w:tbl>
    <w:p w:rsidR="007E5AF6" w:rsidRDefault="007E5AF6" w:rsidP="007E5AF6"/>
    <w:p w:rsidR="007E5AF6" w:rsidRDefault="007E5AF6">
      <w:r>
        <w:br w:type="page"/>
      </w:r>
    </w:p>
    <w:p w:rsidR="007E5AF6" w:rsidRDefault="0008132E" w:rsidP="007E5AF6">
      <w:r>
        <w:lastRenderedPageBreak/>
        <w:t>Figure 4:  Risk Transfer Development, Stage 2</w:t>
      </w:r>
    </w:p>
    <w:p w:rsidR="00FB30D1" w:rsidRDefault="00FB30D1" w:rsidP="00FB30D1"/>
    <w:p w:rsidR="00FB30D1" w:rsidRDefault="00FB30D1" w:rsidP="00FB30D1"/>
    <w:p w:rsidR="00FB30D1" w:rsidRDefault="00FB30D1" w:rsidP="00FB30D1">
      <w:r>
        <w:t xml:space="preserve">        </w:t>
      </w:r>
      <w:r w:rsidR="00F34121">
        <w:tab/>
      </w:r>
      <w:r>
        <w:t>Synthetic CDO</w:t>
      </w:r>
      <w:r>
        <w:tab/>
      </w:r>
      <w:r>
        <w:tab/>
        <w:t xml:space="preserve"> </w:t>
      </w:r>
      <w:r w:rsidR="00F34121">
        <w:tab/>
        <w:t xml:space="preserve">    </w:t>
      </w:r>
      <w:r>
        <w:t>Investment Bank</w:t>
      </w:r>
      <w:r>
        <w:tab/>
      </w:r>
      <w:r>
        <w:tab/>
        <w:t xml:space="preserve">    Insurance Company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B30D1" w:rsidTr="00A568AA">
        <w:tc>
          <w:tcPr>
            <w:tcW w:w="1596" w:type="dxa"/>
          </w:tcPr>
          <w:p w:rsidR="00FB30D1" w:rsidRDefault="00FB30D1" w:rsidP="00A568AA">
            <w:r>
              <w:t>Assets</w:t>
            </w:r>
          </w:p>
        </w:tc>
        <w:tc>
          <w:tcPr>
            <w:tcW w:w="1596" w:type="dxa"/>
          </w:tcPr>
          <w:p w:rsidR="00FB30D1" w:rsidRDefault="00FB30D1" w:rsidP="00A568AA">
            <w:r>
              <w:t>Liabilities</w:t>
            </w:r>
          </w:p>
        </w:tc>
        <w:tc>
          <w:tcPr>
            <w:tcW w:w="1596" w:type="dxa"/>
          </w:tcPr>
          <w:p w:rsidR="00FB30D1" w:rsidRDefault="00FB30D1" w:rsidP="00A568AA">
            <w:r>
              <w:t>Assets</w:t>
            </w:r>
          </w:p>
        </w:tc>
        <w:tc>
          <w:tcPr>
            <w:tcW w:w="1596" w:type="dxa"/>
          </w:tcPr>
          <w:p w:rsidR="00FB30D1" w:rsidRDefault="00FB30D1" w:rsidP="00A568AA">
            <w:r>
              <w:t>Liabilities</w:t>
            </w:r>
          </w:p>
        </w:tc>
        <w:tc>
          <w:tcPr>
            <w:tcW w:w="1596" w:type="dxa"/>
          </w:tcPr>
          <w:p w:rsidR="00FB30D1" w:rsidRDefault="00FB30D1" w:rsidP="00A568AA">
            <w:r>
              <w:t>Assets</w:t>
            </w:r>
          </w:p>
        </w:tc>
        <w:tc>
          <w:tcPr>
            <w:tcW w:w="1596" w:type="dxa"/>
          </w:tcPr>
          <w:p w:rsidR="00FB30D1" w:rsidRDefault="00FB30D1" w:rsidP="00A568AA">
            <w:r>
              <w:t>Liabilities</w:t>
            </w:r>
          </w:p>
        </w:tc>
      </w:tr>
      <w:tr w:rsidR="00FB30D1" w:rsidTr="00A568AA">
        <w:tc>
          <w:tcPr>
            <w:tcW w:w="1596" w:type="dxa"/>
          </w:tcPr>
          <w:p w:rsidR="00FB30D1" w:rsidRDefault="00FB30D1" w:rsidP="00A568AA">
            <w:r>
              <w:t>MM funding</w:t>
            </w:r>
          </w:p>
        </w:tc>
        <w:tc>
          <w:tcPr>
            <w:tcW w:w="1596" w:type="dxa"/>
          </w:tcPr>
          <w:p w:rsidR="00FB30D1" w:rsidRPr="00F34121" w:rsidRDefault="00FB30D1" w:rsidP="00A568AA">
            <w:pPr>
              <w:rPr>
                <w:b/>
              </w:rPr>
            </w:pPr>
            <w:r w:rsidRPr="00F34121">
              <w:rPr>
                <w:b/>
              </w:rPr>
              <w:t>Hi tranche</w:t>
            </w:r>
          </w:p>
          <w:p w:rsidR="00FB30D1" w:rsidRDefault="00FB30D1" w:rsidP="00A568AA">
            <w:r>
              <w:t>Mid tranche</w:t>
            </w:r>
          </w:p>
          <w:p w:rsidR="00FB30D1" w:rsidRDefault="00FB30D1" w:rsidP="00A568AA">
            <w:r>
              <w:t>Lo tranche</w:t>
            </w:r>
          </w:p>
          <w:p w:rsidR="00FB30D1" w:rsidRPr="00F34121" w:rsidRDefault="00FB30D1" w:rsidP="00A568AA">
            <w:pPr>
              <w:rPr>
                <w:b/>
              </w:rPr>
            </w:pPr>
            <w:r w:rsidRPr="00F34121">
              <w:rPr>
                <w:b/>
              </w:rPr>
              <w:t>Mid CDS</w:t>
            </w:r>
          </w:p>
        </w:tc>
        <w:tc>
          <w:tcPr>
            <w:tcW w:w="1596" w:type="dxa"/>
          </w:tcPr>
          <w:p w:rsidR="00FB30D1" w:rsidRDefault="00FB30D1" w:rsidP="00A568AA">
            <w:r>
              <w:t>Loans</w:t>
            </w:r>
          </w:p>
          <w:p w:rsidR="00FB30D1" w:rsidRDefault="00FB30D1" w:rsidP="00A568AA"/>
        </w:tc>
        <w:tc>
          <w:tcPr>
            <w:tcW w:w="1596" w:type="dxa"/>
          </w:tcPr>
          <w:p w:rsidR="00FB30D1" w:rsidRDefault="00FB30D1" w:rsidP="00A568AA"/>
          <w:p w:rsidR="00FB30D1" w:rsidRDefault="00FB30D1" w:rsidP="00A568AA"/>
          <w:p w:rsidR="00FB30D1" w:rsidRDefault="00FB30D1" w:rsidP="00A568AA"/>
        </w:tc>
        <w:tc>
          <w:tcPr>
            <w:tcW w:w="1596" w:type="dxa"/>
          </w:tcPr>
          <w:p w:rsidR="00FB30D1" w:rsidRDefault="00FB30D1" w:rsidP="00A568AA"/>
        </w:tc>
        <w:tc>
          <w:tcPr>
            <w:tcW w:w="1596" w:type="dxa"/>
          </w:tcPr>
          <w:p w:rsidR="00FB30D1" w:rsidRDefault="00FB30D1" w:rsidP="00A568AA"/>
        </w:tc>
      </w:tr>
    </w:tbl>
    <w:p w:rsidR="00FB30D1" w:rsidRDefault="00FB30D1" w:rsidP="00FB30D1"/>
    <w:p w:rsidR="00FB30D1" w:rsidRDefault="00FB30D1" w:rsidP="00FB30D1">
      <w:r>
        <w:t xml:space="preserve">           Shadow Bank</w:t>
      </w:r>
      <w:r>
        <w:tab/>
      </w:r>
      <w:r>
        <w:tab/>
      </w:r>
      <w:r>
        <w:tab/>
        <w:t xml:space="preserve">     Pension Fund</w:t>
      </w:r>
      <w:r>
        <w:tab/>
      </w:r>
      <w:r>
        <w:tab/>
      </w:r>
      <w:r>
        <w:tab/>
        <w:t xml:space="preserve"> Hedge Fund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B30D1" w:rsidTr="00A568AA">
        <w:tc>
          <w:tcPr>
            <w:tcW w:w="1596" w:type="dxa"/>
          </w:tcPr>
          <w:p w:rsidR="00FB30D1" w:rsidRDefault="00FB30D1" w:rsidP="00A568AA">
            <w:r>
              <w:t>Assets</w:t>
            </w:r>
          </w:p>
        </w:tc>
        <w:tc>
          <w:tcPr>
            <w:tcW w:w="1596" w:type="dxa"/>
          </w:tcPr>
          <w:p w:rsidR="00FB30D1" w:rsidRDefault="00FB30D1" w:rsidP="00A568AA">
            <w:r>
              <w:t>Liabilities</w:t>
            </w:r>
          </w:p>
        </w:tc>
        <w:tc>
          <w:tcPr>
            <w:tcW w:w="1596" w:type="dxa"/>
          </w:tcPr>
          <w:p w:rsidR="00FB30D1" w:rsidRDefault="00FB30D1" w:rsidP="00A568AA">
            <w:r>
              <w:t>Assets</w:t>
            </w:r>
          </w:p>
        </w:tc>
        <w:tc>
          <w:tcPr>
            <w:tcW w:w="1596" w:type="dxa"/>
          </w:tcPr>
          <w:p w:rsidR="00FB30D1" w:rsidRDefault="00FB30D1" w:rsidP="00A568AA">
            <w:r>
              <w:t>Liabilities</w:t>
            </w:r>
          </w:p>
        </w:tc>
        <w:tc>
          <w:tcPr>
            <w:tcW w:w="1596" w:type="dxa"/>
          </w:tcPr>
          <w:p w:rsidR="00FB30D1" w:rsidRDefault="00FB30D1" w:rsidP="00A568AA">
            <w:r>
              <w:t>Assets</w:t>
            </w:r>
          </w:p>
        </w:tc>
        <w:tc>
          <w:tcPr>
            <w:tcW w:w="1596" w:type="dxa"/>
          </w:tcPr>
          <w:p w:rsidR="00FB30D1" w:rsidRDefault="00FB30D1" w:rsidP="00A568AA">
            <w:r>
              <w:t>Liabilities</w:t>
            </w:r>
          </w:p>
        </w:tc>
      </w:tr>
      <w:tr w:rsidR="00FB30D1" w:rsidTr="00A568AA">
        <w:tc>
          <w:tcPr>
            <w:tcW w:w="1596" w:type="dxa"/>
          </w:tcPr>
          <w:p w:rsidR="00FB30D1" w:rsidRPr="00F34121" w:rsidRDefault="00FB30D1" w:rsidP="00A568AA">
            <w:pPr>
              <w:rPr>
                <w:b/>
              </w:rPr>
            </w:pPr>
            <w:r w:rsidRPr="00F34121">
              <w:rPr>
                <w:b/>
              </w:rPr>
              <w:t>Hi tranche</w:t>
            </w:r>
          </w:p>
          <w:p w:rsidR="00FB30D1" w:rsidRDefault="00F34121" w:rsidP="00A568AA">
            <w:r>
              <w:t>Liquidity Put</w:t>
            </w:r>
          </w:p>
        </w:tc>
        <w:tc>
          <w:tcPr>
            <w:tcW w:w="1596" w:type="dxa"/>
          </w:tcPr>
          <w:p w:rsidR="00FB30D1" w:rsidRDefault="00FB30D1" w:rsidP="00A568AA">
            <w:r>
              <w:t>MM funding</w:t>
            </w:r>
          </w:p>
        </w:tc>
        <w:tc>
          <w:tcPr>
            <w:tcW w:w="1596" w:type="dxa"/>
          </w:tcPr>
          <w:p w:rsidR="00FB30D1" w:rsidRDefault="00FB30D1" w:rsidP="00A568AA">
            <w:r>
              <w:t>Mid tranche</w:t>
            </w:r>
          </w:p>
          <w:p w:rsidR="00FB30D1" w:rsidRDefault="00FB30D1" w:rsidP="00A568AA"/>
          <w:p w:rsidR="00FB30D1" w:rsidRDefault="00FB30D1" w:rsidP="00A568AA"/>
        </w:tc>
        <w:tc>
          <w:tcPr>
            <w:tcW w:w="1596" w:type="dxa"/>
          </w:tcPr>
          <w:p w:rsidR="00FB30D1" w:rsidRDefault="00FB30D1" w:rsidP="00A568AA">
            <w:r>
              <w:t>Pension liabilities</w:t>
            </w:r>
          </w:p>
        </w:tc>
        <w:tc>
          <w:tcPr>
            <w:tcW w:w="1596" w:type="dxa"/>
          </w:tcPr>
          <w:p w:rsidR="00FB30D1" w:rsidRDefault="00FB30D1" w:rsidP="00A568AA">
            <w:r>
              <w:t>Lo tranche</w:t>
            </w:r>
          </w:p>
          <w:p w:rsidR="00FB30D1" w:rsidRPr="00F34121" w:rsidRDefault="00075CEE" w:rsidP="00A568AA">
            <w:pPr>
              <w:rPr>
                <w:b/>
              </w:rPr>
            </w:pPr>
            <w:r w:rsidRPr="00F34121">
              <w:rPr>
                <w:b/>
              </w:rPr>
              <w:t>Mid CDS</w:t>
            </w:r>
          </w:p>
        </w:tc>
        <w:tc>
          <w:tcPr>
            <w:tcW w:w="1596" w:type="dxa"/>
          </w:tcPr>
          <w:p w:rsidR="00FB30D1" w:rsidRDefault="00FB30D1" w:rsidP="00A568AA">
            <w:r>
              <w:t>Loans</w:t>
            </w:r>
          </w:p>
          <w:p w:rsidR="00FB30D1" w:rsidRDefault="00FB30D1" w:rsidP="00A568AA">
            <w:r>
              <w:t>Capital</w:t>
            </w:r>
          </w:p>
        </w:tc>
      </w:tr>
    </w:tbl>
    <w:p w:rsidR="00D73B6A" w:rsidRDefault="00D73B6A" w:rsidP="00FB30D1"/>
    <w:p w:rsidR="00D73B6A" w:rsidRDefault="00D73B6A">
      <w:r>
        <w:br w:type="page"/>
      </w:r>
    </w:p>
    <w:p w:rsidR="00135867" w:rsidRDefault="00382CC9">
      <w:r>
        <w:lastRenderedPageBreak/>
        <w:tab/>
      </w:r>
    </w:p>
    <w:p w:rsidR="00135867" w:rsidRDefault="00135867">
      <w:r>
        <w:br w:type="page"/>
      </w:r>
    </w:p>
    <w:p w:rsidR="00382CC9" w:rsidRPr="007D5420" w:rsidRDefault="00135867">
      <w:pPr>
        <w:rPr>
          <w:b/>
        </w:rPr>
      </w:pPr>
      <w:r w:rsidRPr="007D5420">
        <w:rPr>
          <w:b/>
        </w:rPr>
        <w:lastRenderedPageBreak/>
        <w:t>References</w:t>
      </w:r>
    </w:p>
    <w:p w:rsidR="00135867" w:rsidRDefault="00135867"/>
    <w:p w:rsidR="00135867" w:rsidRDefault="00934BA6" w:rsidP="00405A41">
      <w:pPr>
        <w:spacing w:line="480" w:lineRule="auto"/>
      </w:pPr>
      <w:proofErr w:type="gramStart"/>
      <w:r>
        <w:t>Bank for International Settlements.</w:t>
      </w:r>
      <w:proofErr w:type="gramEnd"/>
      <w:r>
        <w:t xml:space="preserve">  </w:t>
      </w:r>
      <w:r w:rsidR="00135867">
        <w:t>2010.  “The functioning and resilience of cros</w:t>
      </w:r>
      <w:r w:rsidR="007D5420">
        <w:t>s</w:t>
      </w:r>
      <w:r w:rsidR="00135867">
        <w:t xml:space="preserve">-border funding markets.”  CFGS Paper No. 37 (March).  </w:t>
      </w:r>
      <w:r>
        <w:t xml:space="preserve"> </w:t>
      </w:r>
      <w:proofErr w:type="gramStart"/>
      <w:r>
        <w:t>Committee on the Global Financial System.</w:t>
      </w:r>
      <w:proofErr w:type="gramEnd"/>
      <w:r>
        <w:t xml:space="preserve">  </w:t>
      </w:r>
    </w:p>
    <w:p w:rsidR="00747319" w:rsidRDefault="00747319" w:rsidP="00405A41">
      <w:pPr>
        <w:spacing w:line="480" w:lineRule="auto"/>
      </w:pPr>
      <w:proofErr w:type="spellStart"/>
      <w:r>
        <w:t>Brunnermeier</w:t>
      </w:r>
      <w:proofErr w:type="spellEnd"/>
      <w:r>
        <w:t xml:space="preserve">, Markus.  2009.  “Deciphering the Liquidity and Credit Crunch, 2007-2008.”  </w:t>
      </w:r>
      <w:r w:rsidRPr="002C0A2E">
        <w:rPr>
          <w:u w:val="single"/>
        </w:rPr>
        <w:t>Journal of Economic Perspectives</w:t>
      </w:r>
      <w:r>
        <w:t xml:space="preserve"> 23(1):  77-100.</w:t>
      </w:r>
    </w:p>
    <w:p w:rsidR="002C0A2E" w:rsidRDefault="002C0A2E" w:rsidP="00405A41">
      <w:pPr>
        <w:spacing w:line="480" w:lineRule="auto"/>
      </w:pPr>
      <w:proofErr w:type="spellStart"/>
      <w:proofErr w:type="gramStart"/>
      <w:r>
        <w:t>Brunnermeier</w:t>
      </w:r>
      <w:proofErr w:type="spellEnd"/>
      <w:r>
        <w:t xml:space="preserve">, Markus and </w:t>
      </w:r>
      <w:proofErr w:type="spellStart"/>
      <w:r>
        <w:t>Lasse</w:t>
      </w:r>
      <w:proofErr w:type="spellEnd"/>
      <w:r>
        <w:t xml:space="preserve"> H. Pedersen.</w:t>
      </w:r>
      <w:proofErr w:type="gramEnd"/>
      <w:r>
        <w:t xml:space="preserve">  2009. “Market Liquidity and Funding Liquidity.”  </w:t>
      </w:r>
      <w:r w:rsidRPr="002C0A2E">
        <w:rPr>
          <w:u w:val="single"/>
        </w:rPr>
        <w:t>Review of Financial Studies</w:t>
      </w:r>
      <w:r>
        <w:t xml:space="preserve"> 22(6):  2201-2233.</w:t>
      </w:r>
    </w:p>
    <w:p w:rsidR="00314C1D" w:rsidRDefault="00314C1D" w:rsidP="00405A41">
      <w:pPr>
        <w:spacing w:line="480" w:lineRule="auto"/>
      </w:pPr>
      <w:proofErr w:type="gramStart"/>
      <w:r>
        <w:t>Caballero, Ricardo J.</w:t>
      </w:r>
      <w:proofErr w:type="gramEnd"/>
      <w:r>
        <w:t xml:space="preserve">  2006.  “On the Macroeconomics of Asset Shortages.”  </w:t>
      </w:r>
      <w:proofErr w:type="gramStart"/>
      <w:r>
        <w:t xml:space="preserve">Pages 272-283 in </w:t>
      </w:r>
      <w:r w:rsidRPr="002C0A2E">
        <w:rPr>
          <w:u w:val="single"/>
        </w:rPr>
        <w:t>The Role of Money:  Money and Monetary Policy in the Twenty-First Century</w:t>
      </w:r>
      <w:r>
        <w:t xml:space="preserve">, edited by Andreas Beyer and </w:t>
      </w:r>
      <w:proofErr w:type="spellStart"/>
      <w:r>
        <w:t>Lucrezia</w:t>
      </w:r>
      <w:proofErr w:type="spellEnd"/>
      <w:r>
        <w:t xml:space="preserve"> </w:t>
      </w:r>
      <w:proofErr w:type="spellStart"/>
      <w:r>
        <w:t>Reichlin</w:t>
      </w:r>
      <w:proofErr w:type="spellEnd"/>
      <w:r>
        <w:t>.</w:t>
      </w:r>
      <w:proofErr w:type="gramEnd"/>
      <w:r>
        <w:t xml:space="preserve">  </w:t>
      </w:r>
      <w:r w:rsidR="00CC4EEA">
        <w:t xml:space="preserve"> Frankfurt, Germany:  European Central Bank.</w:t>
      </w:r>
    </w:p>
    <w:p w:rsidR="00314C1D" w:rsidRDefault="00314C1D" w:rsidP="00405A41">
      <w:pPr>
        <w:spacing w:line="480" w:lineRule="auto"/>
      </w:pPr>
      <w:proofErr w:type="gramStart"/>
      <w:r>
        <w:t>FCIC [Financial Crisis Inquiry Commission].</w:t>
      </w:r>
      <w:proofErr w:type="gramEnd"/>
      <w:r>
        <w:t xml:space="preserve">  2011.  </w:t>
      </w:r>
      <w:r w:rsidRPr="00314C1D">
        <w:rPr>
          <w:u w:val="single"/>
        </w:rPr>
        <w:t>The Financial Crisis Inquiry Report</w:t>
      </w:r>
      <w:r>
        <w:t xml:space="preserve">.  </w:t>
      </w:r>
      <w:proofErr w:type="gramStart"/>
      <w:r>
        <w:t>(January).</w:t>
      </w:r>
      <w:proofErr w:type="gramEnd"/>
      <w:r>
        <w:t xml:space="preserve">  Washington, DC:  Government Printing Office.</w:t>
      </w:r>
    </w:p>
    <w:p w:rsidR="00747319" w:rsidRDefault="00747319" w:rsidP="00405A41">
      <w:pPr>
        <w:spacing w:line="480" w:lineRule="auto"/>
      </w:pPr>
      <w:proofErr w:type="gramStart"/>
      <w:r>
        <w:t>Ferguson, Thomas and Robert Johnson.</w:t>
      </w:r>
      <w:proofErr w:type="gramEnd"/>
      <w:r>
        <w:t xml:space="preserve">  2009.  “Too Big to Bail.”  Part I and II.  </w:t>
      </w:r>
      <w:r w:rsidRPr="00747319">
        <w:rPr>
          <w:u w:val="single"/>
        </w:rPr>
        <w:t>International Journal of Political Economy</w:t>
      </w:r>
      <w:r>
        <w:t xml:space="preserve"> 38 No. 1 (</w:t>
      </w:r>
      <w:proofErr w:type="gramStart"/>
      <w:r>
        <w:t>Spring</w:t>
      </w:r>
      <w:proofErr w:type="gramEnd"/>
      <w:r>
        <w:t>) and No. 2 (Summer).</w:t>
      </w:r>
    </w:p>
    <w:p w:rsidR="00934BA6" w:rsidRDefault="00934BA6" w:rsidP="00405A41">
      <w:pPr>
        <w:spacing w:line="480" w:lineRule="auto"/>
      </w:pPr>
      <w:r>
        <w:t xml:space="preserve">Gorton, Gary B.  2010.  </w:t>
      </w:r>
      <w:r w:rsidRPr="005A06AE">
        <w:rPr>
          <w:u w:val="single"/>
        </w:rPr>
        <w:t>Slapped by the Invisible Hand:  The Panic of 2007</w:t>
      </w:r>
      <w:r>
        <w:t xml:space="preserve">.  </w:t>
      </w:r>
      <w:proofErr w:type="gramStart"/>
      <w:r>
        <w:t>Financial Management Association Survey and Synthesis.</w:t>
      </w:r>
      <w:proofErr w:type="gramEnd"/>
      <w:r>
        <w:t xml:space="preserve">  New York:  Oxford University Press.</w:t>
      </w:r>
    </w:p>
    <w:p w:rsidR="00135867" w:rsidRDefault="00135867" w:rsidP="00405A41">
      <w:pPr>
        <w:spacing w:line="480" w:lineRule="auto"/>
      </w:pPr>
      <w:proofErr w:type="gramStart"/>
      <w:r>
        <w:t>Grad, David, Perry Mehrling and Daniel Neilson.</w:t>
      </w:r>
      <w:proofErr w:type="gramEnd"/>
      <w:r>
        <w:t xml:space="preserve">  2011.</w:t>
      </w:r>
      <w:r w:rsidR="005A06AE">
        <w:t xml:space="preserve">  “The evolution of last-resort operations in the global credit crisis.”</w:t>
      </w:r>
      <w:r w:rsidR="00714B5E">
        <w:t xml:space="preserve">  </w:t>
      </w:r>
      <w:proofErr w:type="gramStart"/>
      <w:r w:rsidR="00714B5E">
        <w:t>Mimeo (March 18).</w:t>
      </w:r>
      <w:proofErr w:type="gramEnd"/>
      <w:r w:rsidR="00314C1D">
        <w:t xml:space="preserve">  </w:t>
      </w:r>
      <w:r w:rsidR="00314C1D" w:rsidRPr="00314C1D">
        <w:t xml:space="preserve"> </w:t>
      </w:r>
      <w:hyperlink r:id="rId9" w:history="1">
        <w:r w:rsidR="00314C1D" w:rsidRPr="00314C1D">
          <w:rPr>
            <w:color w:val="0000FF"/>
            <w:u w:val="single"/>
          </w:rPr>
          <w:t>http://danielneilson.com/media/pdf/grad_mehrling_neilson-latest.pdf</w:t>
        </w:r>
      </w:hyperlink>
    </w:p>
    <w:p w:rsidR="00714B5E" w:rsidRDefault="00714B5E" w:rsidP="00405A41">
      <w:pPr>
        <w:spacing w:line="480" w:lineRule="auto"/>
      </w:pPr>
      <w:r>
        <w:lastRenderedPageBreak/>
        <w:t>Haldane, Andy.  2011.  “The Race to Zero.”</w:t>
      </w:r>
      <w:r w:rsidR="003812E7">
        <w:t xml:space="preserve">  </w:t>
      </w:r>
      <w:proofErr w:type="gramStart"/>
      <w:r w:rsidR="003812E7">
        <w:t>Bank of England</w:t>
      </w:r>
      <w:r w:rsidR="00C7352B">
        <w:t xml:space="preserve"> (July).</w:t>
      </w:r>
      <w:proofErr w:type="gramEnd"/>
      <w:r w:rsidR="00314C1D">
        <w:t xml:space="preserve">  </w:t>
      </w:r>
      <w:hyperlink r:id="rId10" w:history="1">
        <w:r w:rsidR="00314C1D" w:rsidRPr="001D55A8">
          <w:rPr>
            <w:rStyle w:val="Hyperlink"/>
          </w:rPr>
          <w:t>http://www.bankofengland.co.uk/publications/speeches/2011/speech509.pdf</w:t>
        </w:r>
      </w:hyperlink>
    </w:p>
    <w:p w:rsidR="00314C1D" w:rsidRDefault="00314C1D" w:rsidP="00405A41">
      <w:pPr>
        <w:spacing w:line="480" w:lineRule="auto"/>
      </w:pPr>
      <w:r>
        <w:t xml:space="preserve">Krieger, Sandra C.  2011.  “Reducing the Systemic Risk in Shadow Maturity Transformation.”  (March 18).  </w:t>
      </w:r>
      <w:proofErr w:type="gramStart"/>
      <w:r>
        <w:t>Remarks at Global Association of Risk Professionals, New York City.</w:t>
      </w:r>
      <w:proofErr w:type="gramEnd"/>
    </w:p>
    <w:p w:rsidR="00747319" w:rsidRDefault="00747319" w:rsidP="00405A41">
      <w:pPr>
        <w:spacing w:line="480" w:lineRule="auto"/>
      </w:pPr>
      <w:r>
        <w:t xml:space="preserve">Krishnamurthy, </w:t>
      </w:r>
      <w:proofErr w:type="spellStart"/>
      <w:r>
        <w:t>Arvind</w:t>
      </w:r>
      <w:proofErr w:type="spellEnd"/>
      <w:r>
        <w:t xml:space="preserve">.  2010.  “How Debt Markets Have Malfunctioned in the Crisis.”  </w:t>
      </w:r>
      <w:r w:rsidRPr="00747319">
        <w:rPr>
          <w:u w:val="single"/>
        </w:rPr>
        <w:t>Journal of Economic Perspectives</w:t>
      </w:r>
      <w:r>
        <w:t xml:space="preserve"> 24(1):  3-28.</w:t>
      </w:r>
    </w:p>
    <w:p w:rsidR="00747319" w:rsidRDefault="00747319" w:rsidP="00405A41">
      <w:pPr>
        <w:spacing w:line="480" w:lineRule="auto"/>
      </w:pPr>
      <w:proofErr w:type="gramStart"/>
      <w:r>
        <w:t>McGuire, Patrick and Goetz von Peter.</w:t>
      </w:r>
      <w:proofErr w:type="gramEnd"/>
      <w:r>
        <w:t xml:space="preserve">  2009.  “The U.S. Dollar Shortage in Global Banking.”  BIS </w:t>
      </w:r>
      <w:r w:rsidRPr="00747319">
        <w:rPr>
          <w:u w:val="single"/>
        </w:rPr>
        <w:t>Quarterly Review</w:t>
      </w:r>
      <w:r>
        <w:t xml:space="preserve"> (March):  47-63.</w:t>
      </w:r>
    </w:p>
    <w:p w:rsidR="00714B5E" w:rsidRPr="00714B5E" w:rsidRDefault="00714B5E" w:rsidP="00405A41">
      <w:pPr>
        <w:tabs>
          <w:tab w:val="left" w:pos="-720"/>
          <w:tab w:val="left" w:pos="0"/>
        </w:tabs>
        <w:spacing w:line="480" w:lineRule="auto"/>
        <w:rPr>
          <w:rFonts w:cstheme="minorHAnsi"/>
        </w:rPr>
      </w:pPr>
      <w:r>
        <w:t xml:space="preserve">Mehrling, Perry.  2010.  </w:t>
      </w:r>
      <w:r w:rsidRPr="00714B5E">
        <w:rPr>
          <w:rFonts w:cstheme="minorHAnsi"/>
        </w:rPr>
        <w:t xml:space="preserve">“Credit Default Swaps:  The Key to Financial Reform.”  </w:t>
      </w:r>
      <w:proofErr w:type="gramStart"/>
      <w:r w:rsidRPr="00714B5E">
        <w:rPr>
          <w:rFonts w:cstheme="minorHAnsi"/>
        </w:rPr>
        <w:t xml:space="preserve">Pages 185-199 in </w:t>
      </w:r>
      <w:r w:rsidRPr="00714B5E">
        <w:rPr>
          <w:rFonts w:cstheme="minorHAnsi"/>
          <w:u w:val="single"/>
        </w:rPr>
        <w:t>Time for a Visible Hand:  Lessons from the 2008 Financial Crisis</w:t>
      </w:r>
      <w:r w:rsidRPr="00714B5E">
        <w:rPr>
          <w:rFonts w:cstheme="minorHAnsi"/>
        </w:rPr>
        <w:t xml:space="preserve">, edited by </w:t>
      </w:r>
      <w:proofErr w:type="spellStart"/>
      <w:r w:rsidRPr="00714B5E">
        <w:rPr>
          <w:rFonts w:cstheme="minorHAnsi"/>
        </w:rPr>
        <w:t>Stephany</w:t>
      </w:r>
      <w:proofErr w:type="spellEnd"/>
      <w:r w:rsidRPr="00714B5E">
        <w:rPr>
          <w:rFonts w:cstheme="minorHAnsi"/>
        </w:rPr>
        <w:t xml:space="preserve"> Griffith-Jones, Jose Antonio </w:t>
      </w:r>
      <w:proofErr w:type="spellStart"/>
      <w:r w:rsidRPr="00714B5E">
        <w:rPr>
          <w:rFonts w:cstheme="minorHAnsi"/>
        </w:rPr>
        <w:t>OCampo</w:t>
      </w:r>
      <w:proofErr w:type="spellEnd"/>
      <w:r w:rsidRPr="00714B5E">
        <w:rPr>
          <w:rFonts w:cstheme="minorHAnsi"/>
        </w:rPr>
        <w:t xml:space="preserve">, and Joseph E. </w:t>
      </w:r>
      <w:proofErr w:type="spellStart"/>
      <w:r w:rsidRPr="00714B5E">
        <w:rPr>
          <w:rFonts w:cstheme="minorHAnsi"/>
        </w:rPr>
        <w:t>Stiglitz</w:t>
      </w:r>
      <w:proofErr w:type="spellEnd"/>
      <w:r w:rsidRPr="00714B5E">
        <w:rPr>
          <w:rFonts w:cstheme="minorHAnsi"/>
        </w:rPr>
        <w:t>.</w:t>
      </w:r>
      <w:proofErr w:type="gramEnd"/>
      <w:r w:rsidRPr="00714B5E">
        <w:rPr>
          <w:rFonts w:cstheme="minorHAnsi"/>
        </w:rPr>
        <w:t xml:space="preserve"> </w:t>
      </w:r>
      <w:r>
        <w:rPr>
          <w:rFonts w:cstheme="minorHAnsi"/>
        </w:rPr>
        <w:t xml:space="preserve">  </w:t>
      </w:r>
      <w:proofErr w:type="gramStart"/>
      <w:r>
        <w:rPr>
          <w:rFonts w:cstheme="minorHAnsi"/>
        </w:rPr>
        <w:t>Oxford University Press</w:t>
      </w:r>
      <w:r w:rsidRPr="00714B5E">
        <w:rPr>
          <w:rFonts w:cstheme="minorHAnsi"/>
        </w:rPr>
        <w:t>.</w:t>
      </w:r>
      <w:proofErr w:type="gramEnd"/>
    </w:p>
    <w:p w:rsidR="00135867" w:rsidRDefault="00135867" w:rsidP="00405A41">
      <w:pPr>
        <w:spacing w:line="480" w:lineRule="auto"/>
      </w:pPr>
      <w:r>
        <w:t>Mehrling, Perry.  2011.</w:t>
      </w:r>
      <w:r w:rsidR="005A06AE">
        <w:t xml:space="preserve">  </w:t>
      </w:r>
      <w:r w:rsidR="005A06AE" w:rsidRPr="005A06AE">
        <w:rPr>
          <w:u w:val="single"/>
        </w:rPr>
        <w:t>The New Lombard Street; How the Fed became the dealer of last resort</w:t>
      </w:r>
      <w:r w:rsidR="005A06AE">
        <w:t>.  Princeton University Press:  Princeton, NJ.</w:t>
      </w:r>
    </w:p>
    <w:p w:rsidR="00405A41" w:rsidRDefault="00405A41" w:rsidP="00405A41">
      <w:pPr>
        <w:spacing w:line="480" w:lineRule="auto"/>
      </w:pPr>
      <w:r>
        <w:t xml:space="preserve">Mehrling, Perry.  2012.  “Three Principles for Market-based Credit Regulation.”  </w:t>
      </w:r>
      <w:r w:rsidRPr="00405A41">
        <w:rPr>
          <w:u w:val="single"/>
        </w:rPr>
        <w:t>American Economic Review</w:t>
      </w:r>
      <w:r>
        <w:t xml:space="preserve"> (May).</w:t>
      </w:r>
    </w:p>
    <w:p w:rsidR="00CC4EEA" w:rsidRDefault="00CC4EEA" w:rsidP="00405A41">
      <w:pPr>
        <w:spacing w:line="480" w:lineRule="auto"/>
      </w:pPr>
      <w:proofErr w:type="gramStart"/>
      <w:r>
        <w:t>Minsky, Hyman P.</w:t>
      </w:r>
      <w:proofErr w:type="gramEnd"/>
      <w:r>
        <w:t xml:space="preserve">  </w:t>
      </w:r>
      <w:proofErr w:type="gramStart"/>
      <w:r>
        <w:t>1987 [2008].</w:t>
      </w:r>
      <w:proofErr w:type="gramEnd"/>
      <w:r>
        <w:t xml:space="preserve">  </w:t>
      </w:r>
      <w:proofErr w:type="gramStart"/>
      <w:r>
        <w:t>“Securitization.”</w:t>
      </w:r>
      <w:proofErr w:type="gramEnd"/>
      <w:r>
        <w:t xml:space="preserve">  </w:t>
      </w:r>
      <w:proofErr w:type="gramStart"/>
      <w:r>
        <w:t>Levy Economics Institute Policy Note 2008/2.</w:t>
      </w:r>
      <w:proofErr w:type="gramEnd"/>
    </w:p>
    <w:p w:rsidR="005A06AE" w:rsidRDefault="00135867" w:rsidP="00405A41">
      <w:pPr>
        <w:spacing w:line="480" w:lineRule="auto"/>
        <w:rPr>
          <w:rFonts w:cstheme="minorHAnsi"/>
        </w:rPr>
      </w:pPr>
      <w:r w:rsidRPr="00B21207">
        <w:rPr>
          <w:rFonts w:cstheme="minorHAnsi"/>
        </w:rPr>
        <w:t>Morris, Charles</w:t>
      </w:r>
      <w:r w:rsidR="00934BA6" w:rsidRPr="00B21207">
        <w:rPr>
          <w:rFonts w:cstheme="minorHAnsi"/>
        </w:rPr>
        <w:t xml:space="preserve"> R</w:t>
      </w:r>
      <w:r w:rsidRPr="00B21207">
        <w:rPr>
          <w:rFonts w:cstheme="minorHAnsi"/>
        </w:rPr>
        <w:t>.</w:t>
      </w:r>
      <w:r w:rsidR="00934BA6" w:rsidRPr="00B21207">
        <w:rPr>
          <w:rFonts w:cstheme="minorHAnsi"/>
        </w:rPr>
        <w:t xml:space="preserve">  2008.  </w:t>
      </w:r>
      <w:r w:rsidR="00934BA6" w:rsidRPr="00B21207">
        <w:rPr>
          <w:rFonts w:cstheme="minorHAnsi"/>
          <w:u w:val="single"/>
        </w:rPr>
        <w:t>The Trillion Dollar Meltdown:  Easy Money, High Rollers, and the Great Credit Crash</w:t>
      </w:r>
      <w:r w:rsidR="00934BA6" w:rsidRPr="00B21207">
        <w:rPr>
          <w:rFonts w:cstheme="minorHAnsi"/>
        </w:rPr>
        <w:t>.  New York:  Public Affairs.</w:t>
      </w:r>
    </w:p>
    <w:p w:rsidR="00707800" w:rsidRDefault="00707800" w:rsidP="00405A41">
      <w:pPr>
        <w:spacing w:line="480" w:lineRule="auto"/>
        <w:rPr>
          <w:rFonts w:cstheme="minorHAnsi"/>
        </w:rPr>
      </w:pPr>
      <w:r>
        <w:rPr>
          <w:rFonts w:cstheme="minorHAnsi"/>
        </w:rPr>
        <w:t xml:space="preserve">Pozsar, Zoltan, Tobias Adrian, Adam Ashcraft and </w:t>
      </w:r>
      <w:proofErr w:type="gramStart"/>
      <w:r>
        <w:rPr>
          <w:rFonts w:cstheme="minorHAnsi"/>
        </w:rPr>
        <w:t>Hayley .</w:t>
      </w:r>
      <w:proofErr w:type="gramEnd"/>
      <w:r>
        <w:rPr>
          <w:rFonts w:cstheme="minorHAnsi"/>
        </w:rPr>
        <w:t xml:space="preserve">   </w:t>
      </w:r>
      <w:proofErr w:type="gramStart"/>
      <w:r w:rsidR="00714B5E">
        <w:rPr>
          <w:rFonts w:cstheme="minorHAnsi"/>
        </w:rPr>
        <w:t>“</w:t>
      </w:r>
      <w:r>
        <w:rPr>
          <w:rFonts w:cstheme="minorHAnsi"/>
        </w:rPr>
        <w:t>The Shadow Banking System.</w:t>
      </w:r>
      <w:r w:rsidR="00714B5E">
        <w:rPr>
          <w:rFonts w:cstheme="minorHAnsi"/>
        </w:rPr>
        <w:t>”</w:t>
      </w:r>
      <w:proofErr w:type="gramEnd"/>
      <w:r w:rsidR="00C7352B">
        <w:rPr>
          <w:rFonts w:cstheme="minorHAnsi"/>
        </w:rPr>
        <w:t xml:space="preserve">  Federal Reserve Staff Report No. 458.</w:t>
      </w:r>
    </w:p>
    <w:p w:rsidR="00707800" w:rsidRDefault="00707800" w:rsidP="00405A41">
      <w:pPr>
        <w:spacing w:line="480" w:lineRule="auto"/>
        <w:rPr>
          <w:rFonts w:cstheme="minorHAnsi"/>
        </w:rPr>
      </w:pPr>
      <w:r>
        <w:rPr>
          <w:rFonts w:cstheme="minorHAnsi"/>
        </w:rPr>
        <w:lastRenderedPageBreak/>
        <w:t xml:space="preserve">Pozsar, Zoltan.  2011.  </w:t>
      </w:r>
      <w:r w:rsidR="00532D54">
        <w:rPr>
          <w:rFonts w:cstheme="minorHAnsi"/>
        </w:rPr>
        <w:t>“Does the secular rise of wholesale c</w:t>
      </w:r>
      <w:r>
        <w:rPr>
          <w:rFonts w:cstheme="minorHAnsi"/>
        </w:rPr>
        <w:t>ash pools</w:t>
      </w:r>
      <w:r w:rsidR="00532D54">
        <w:rPr>
          <w:rFonts w:cstheme="minorHAnsi"/>
        </w:rPr>
        <w:t xml:space="preserve"> necessitate shadow banking?”  </w:t>
      </w:r>
      <w:proofErr w:type="gramStart"/>
      <w:r w:rsidR="00532D54">
        <w:rPr>
          <w:rFonts w:cstheme="minorHAnsi"/>
        </w:rPr>
        <w:t xml:space="preserve">Unpublished mimeo, </w:t>
      </w:r>
      <w:proofErr w:type="spellStart"/>
      <w:r w:rsidR="00532D54">
        <w:rPr>
          <w:rFonts w:cstheme="minorHAnsi"/>
        </w:rPr>
        <w:t>n.d.</w:t>
      </w:r>
      <w:proofErr w:type="spellEnd"/>
      <w:proofErr w:type="gramEnd"/>
    </w:p>
    <w:p w:rsidR="00714B5E" w:rsidRDefault="00C7352B" w:rsidP="00405A41">
      <w:pPr>
        <w:spacing w:line="480" w:lineRule="auto"/>
        <w:rPr>
          <w:rFonts w:cstheme="minorHAnsi"/>
        </w:rPr>
      </w:pPr>
      <w:proofErr w:type="spellStart"/>
      <w:proofErr w:type="gramStart"/>
      <w:r>
        <w:rPr>
          <w:rFonts w:cstheme="minorHAnsi"/>
        </w:rPr>
        <w:t>Scharfstein</w:t>
      </w:r>
      <w:proofErr w:type="spellEnd"/>
      <w:r>
        <w:rPr>
          <w:rFonts w:cstheme="minorHAnsi"/>
        </w:rPr>
        <w:t xml:space="preserve">, David and </w:t>
      </w:r>
      <w:proofErr w:type="spellStart"/>
      <w:r>
        <w:rPr>
          <w:rFonts w:cstheme="minorHAnsi"/>
        </w:rPr>
        <w:t>Adi</w:t>
      </w:r>
      <w:proofErr w:type="spellEnd"/>
      <w:r>
        <w:rPr>
          <w:rFonts w:cstheme="minorHAnsi"/>
        </w:rPr>
        <w:t xml:space="preserve"> </w:t>
      </w:r>
      <w:proofErr w:type="spellStart"/>
      <w:r>
        <w:rPr>
          <w:rFonts w:cstheme="minorHAnsi"/>
        </w:rPr>
        <w:t>Sundaram</w:t>
      </w:r>
      <w:proofErr w:type="spellEnd"/>
      <w:r>
        <w:rPr>
          <w:rFonts w:cstheme="minorHAnsi"/>
        </w:rPr>
        <w:t>.</w:t>
      </w:r>
      <w:proofErr w:type="gramEnd"/>
      <w:r>
        <w:rPr>
          <w:rFonts w:cstheme="minorHAnsi"/>
        </w:rPr>
        <w:t xml:space="preserve">  2011.  “The Economics of Housing Finance Reform:  Privatizing, Regulating, and Backstopping Mortgage Markets.”  </w:t>
      </w:r>
      <w:proofErr w:type="gramStart"/>
      <w:r>
        <w:rPr>
          <w:rFonts w:cstheme="minorHAnsi"/>
        </w:rPr>
        <w:t>Harvard Business School (February).</w:t>
      </w:r>
      <w:proofErr w:type="gramEnd"/>
    </w:p>
    <w:p w:rsidR="00C7352B" w:rsidRPr="00B21207" w:rsidRDefault="00C7352B" w:rsidP="00405A41">
      <w:pPr>
        <w:spacing w:line="480" w:lineRule="auto"/>
        <w:rPr>
          <w:rFonts w:cstheme="minorHAnsi"/>
        </w:rPr>
      </w:pPr>
      <w:proofErr w:type="gramStart"/>
      <w:r>
        <w:rPr>
          <w:rFonts w:cstheme="minorHAnsi"/>
        </w:rPr>
        <w:t>Securities Exchange Commission.</w:t>
      </w:r>
      <w:proofErr w:type="gramEnd"/>
      <w:r>
        <w:rPr>
          <w:rFonts w:cstheme="minorHAnsi"/>
        </w:rPr>
        <w:t xml:space="preserve">  2010.  “SEC v. Goldman Sachs and </w:t>
      </w:r>
      <w:proofErr w:type="spellStart"/>
      <w:r>
        <w:rPr>
          <w:rFonts w:cstheme="minorHAnsi"/>
        </w:rPr>
        <w:t>Fabrice</w:t>
      </w:r>
      <w:proofErr w:type="spellEnd"/>
      <w:r>
        <w:rPr>
          <w:rFonts w:cstheme="minorHAnsi"/>
        </w:rPr>
        <w:t xml:space="preserve"> </w:t>
      </w:r>
      <w:proofErr w:type="spellStart"/>
      <w:r>
        <w:rPr>
          <w:rFonts w:cstheme="minorHAnsi"/>
        </w:rPr>
        <w:t>Tourre</w:t>
      </w:r>
      <w:proofErr w:type="spellEnd"/>
      <w:r>
        <w:rPr>
          <w:rFonts w:cstheme="minorHAnsi"/>
        </w:rPr>
        <w:t xml:space="preserve">.”  </w:t>
      </w:r>
      <w:hyperlink r:id="rId11" w:history="1">
        <w:r>
          <w:rPr>
            <w:rStyle w:val="Hyperlink"/>
          </w:rPr>
          <w:t>http://www.sec.gov/litigation/complaints/2010/comp-pr2010-59.pdf</w:t>
        </w:r>
      </w:hyperlink>
    </w:p>
    <w:p w:rsidR="00B21207" w:rsidRPr="00B21207" w:rsidRDefault="00B21207" w:rsidP="00405A41">
      <w:pPr>
        <w:spacing w:line="480" w:lineRule="auto"/>
        <w:rPr>
          <w:rFonts w:cstheme="minorHAnsi"/>
        </w:rPr>
      </w:pPr>
      <w:proofErr w:type="spellStart"/>
      <w:r w:rsidRPr="00B21207">
        <w:rPr>
          <w:rFonts w:cstheme="minorHAnsi"/>
        </w:rPr>
        <w:t>Shiller</w:t>
      </w:r>
      <w:proofErr w:type="spellEnd"/>
      <w:r w:rsidRPr="00B21207">
        <w:rPr>
          <w:rFonts w:cstheme="minorHAnsi"/>
        </w:rPr>
        <w:t>, Robert J.</w:t>
      </w:r>
      <w:r w:rsidR="00405A41">
        <w:rPr>
          <w:rFonts w:cstheme="minorHAnsi"/>
        </w:rPr>
        <w:t xml:space="preserve">  2008.</w:t>
      </w:r>
      <w:r w:rsidRPr="00B21207">
        <w:rPr>
          <w:rFonts w:cstheme="minorHAnsi"/>
        </w:rPr>
        <w:t xml:space="preserve">  </w:t>
      </w:r>
      <w:r w:rsidRPr="00B21207">
        <w:rPr>
          <w:rFonts w:cstheme="minorHAnsi"/>
          <w:u w:val="single"/>
        </w:rPr>
        <w:t>The Subprime Solution</w:t>
      </w:r>
      <w:r w:rsidR="00B774AD">
        <w:rPr>
          <w:rFonts w:cstheme="minorHAnsi"/>
          <w:u w:val="single"/>
        </w:rPr>
        <w:t>.</w:t>
      </w:r>
      <w:r w:rsidR="00405A41">
        <w:rPr>
          <w:rFonts w:cstheme="minorHAnsi"/>
        </w:rPr>
        <w:t xml:space="preserve"> </w:t>
      </w:r>
      <w:r w:rsidR="00B774AD">
        <w:rPr>
          <w:rFonts w:cstheme="minorHAnsi"/>
        </w:rPr>
        <w:t xml:space="preserve"> </w:t>
      </w:r>
      <w:r w:rsidRPr="00B21207">
        <w:rPr>
          <w:rFonts w:cstheme="minorHAnsi"/>
        </w:rPr>
        <w:t xml:space="preserve">Princeton </w:t>
      </w:r>
      <w:r w:rsidR="00405A41">
        <w:rPr>
          <w:rFonts w:cstheme="minorHAnsi"/>
        </w:rPr>
        <w:t>NJ:  Princeton University Press.</w:t>
      </w:r>
    </w:p>
    <w:p w:rsidR="00B21207" w:rsidRDefault="00B21207" w:rsidP="00405A41">
      <w:pPr>
        <w:spacing w:line="480" w:lineRule="auto"/>
        <w:rPr>
          <w:rFonts w:cstheme="minorHAnsi"/>
        </w:rPr>
      </w:pPr>
      <w:proofErr w:type="gramStart"/>
      <w:r w:rsidRPr="00B21207">
        <w:rPr>
          <w:rFonts w:cstheme="minorHAnsi"/>
        </w:rPr>
        <w:t xml:space="preserve">Shin, Hyun Son and </w:t>
      </w:r>
      <w:proofErr w:type="spellStart"/>
      <w:r w:rsidRPr="00B21207">
        <w:rPr>
          <w:rFonts w:cstheme="minorHAnsi"/>
        </w:rPr>
        <w:t>Kwanho</w:t>
      </w:r>
      <w:proofErr w:type="spellEnd"/>
      <w:r w:rsidRPr="00B21207">
        <w:rPr>
          <w:rFonts w:cstheme="minorHAnsi"/>
        </w:rPr>
        <w:t xml:space="preserve"> Shin.</w:t>
      </w:r>
      <w:proofErr w:type="gramEnd"/>
      <w:r w:rsidRPr="00B21207">
        <w:rPr>
          <w:rFonts w:cstheme="minorHAnsi"/>
        </w:rPr>
        <w:t xml:space="preserve">  2011.  “</w:t>
      </w:r>
      <w:proofErr w:type="spellStart"/>
      <w:r w:rsidRPr="00B21207">
        <w:rPr>
          <w:rFonts w:cstheme="minorHAnsi"/>
        </w:rPr>
        <w:t>Procyclicality</w:t>
      </w:r>
      <w:proofErr w:type="spellEnd"/>
      <w:r w:rsidRPr="00B21207">
        <w:rPr>
          <w:rFonts w:cstheme="minorHAnsi"/>
        </w:rPr>
        <w:t xml:space="preserve"> and Monetary Aggregates.”  NBER Working Paper No. 16836. </w:t>
      </w:r>
    </w:p>
    <w:p w:rsidR="00CC4EEA" w:rsidRDefault="00CC4EEA" w:rsidP="00405A41">
      <w:pPr>
        <w:spacing w:line="480" w:lineRule="auto"/>
        <w:rPr>
          <w:rFonts w:cstheme="minorHAnsi"/>
        </w:rPr>
      </w:pPr>
      <w:r>
        <w:rPr>
          <w:rFonts w:cstheme="minorHAnsi"/>
        </w:rPr>
        <w:t xml:space="preserve">SIGTARP [Office of the Special Inspector General for the Troubled Asset Relief Program].  2009.  “Factors Affecting Efforts to Limit Payments to AIG Counterparties.”  </w:t>
      </w:r>
      <w:r w:rsidR="00747319">
        <w:rPr>
          <w:rFonts w:cstheme="minorHAnsi"/>
        </w:rPr>
        <w:t>Washington, DC:  Government Printing Office.</w:t>
      </w:r>
    </w:p>
    <w:p w:rsidR="00CC4EEA" w:rsidRDefault="00CC4EEA" w:rsidP="00405A41">
      <w:pPr>
        <w:spacing w:line="480" w:lineRule="auto"/>
        <w:rPr>
          <w:rFonts w:cstheme="minorHAnsi"/>
        </w:rPr>
      </w:pPr>
      <w:r>
        <w:rPr>
          <w:rFonts w:cstheme="minorHAnsi"/>
        </w:rPr>
        <w:t>Singh, Manmohan.  2010.  “Making OTC Derivatives Safe—</w:t>
      </w:r>
      <w:proofErr w:type="gramStart"/>
      <w:r>
        <w:rPr>
          <w:rFonts w:cstheme="minorHAnsi"/>
        </w:rPr>
        <w:t>A</w:t>
      </w:r>
      <w:proofErr w:type="gramEnd"/>
      <w:r>
        <w:rPr>
          <w:rFonts w:cstheme="minorHAnsi"/>
        </w:rPr>
        <w:t xml:space="preserve"> Fresh Look.”  IMF Working Paper 11/66.</w:t>
      </w:r>
    </w:p>
    <w:p w:rsidR="00CC4EEA" w:rsidRDefault="00CC4EEA" w:rsidP="00405A41">
      <w:pPr>
        <w:spacing w:line="480" w:lineRule="auto"/>
        <w:rPr>
          <w:rFonts w:cstheme="minorHAnsi"/>
        </w:rPr>
      </w:pPr>
      <w:proofErr w:type="gramStart"/>
      <w:r>
        <w:rPr>
          <w:rFonts w:cstheme="minorHAnsi"/>
        </w:rPr>
        <w:t>Singh, Manmohan and James Aitken.</w:t>
      </w:r>
      <w:proofErr w:type="gramEnd"/>
      <w:r>
        <w:rPr>
          <w:rFonts w:cstheme="minorHAnsi"/>
        </w:rPr>
        <w:t xml:space="preserve">  2010.  “The (sizable) Role of </w:t>
      </w:r>
      <w:proofErr w:type="spellStart"/>
      <w:r>
        <w:rPr>
          <w:rFonts w:cstheme="minorHAnsi"/>
        </w:rPr>
        <w:t>Rehypothecation</w:t>
      </w:r>
      <w:proofErr w:type="spellEnd"/>
      <w:r>
        <w:rPr>
          <w:rFonts w:cstheme="minorHAnsi"/>
        </w:rPr>
        <w:t xml:space="preserve"> in the Shadow Banking System</w:t>
      </w:r>
      <w:proofErr w:type="gramStart"/>
      <w:r>
        <w:rPr>
          <w:rFonts w:cstheme="minorHAnsi"/>
        </w:rPr>
        <w:t>”  IMF</w:t>
      </w:r>
      <w:proofErr w:type="gramEnd"/>
      <w:r>
        <w:rPr>
          <w:rFonts w:cstheme="minorHAnsi"/>
        </w:rPr>
        <w:t xml:space="preserve"> Working Paper 10/172 (July).</w:t>
      </w:r>
    </w:p>
    <w:p w:rsidR="00B774AD" w:rsidRDefault="00C7352B" w:rsidP="00B774AD">
      <w:pPr>
        <w:spacing w:line="480" w:lineRule="auto"/>
        <w:rPr>
          <w:rFonts w:cstheme="minorHAnsi"/>
        </w:rPr>
      </w:pPr>
      <w:r>
        <w:rPr>
          <w:rFonts w:cstheme="minorHAnsi"/>
        </w:rPr>
        <w:t xml:space="preserve">Smith, Yves.  2010.  </w:t>
      </w:r>
      <w:proofErr w:type="spellStart"/>
      <w:r w:rsidRPr="00C7352B">
        <w:rPr>
          <w:rFonts w:cstheme="minorHAnsi"/>
          <w:u w:val="single"/>
        </w:rPr>
        <w:t>ECON</w:t>
      </w:r>
      <w:r w:rsidR="00D03EAA" w:rsidRPr="00C7352B">
        <w:rPr>
          <w:rFonts w:cstheme="minorHAnsi"/>
          <w:u w:val="single"/>
        </w:rPr>
        <w:t>ned</w:t>
      </w:r>
      <w:proofErr w:type="spellEnd"/>
      <w:r w:rsidRPr="00C7352B">
        <w:rPr>
          <w:rFonts w:cstheme="minorHAnsi"/>
          <w:u w:val="single"/>
        </w:rPr>
        <w:t xml:space="preserve">; How unenlightened </w:t>
      </w:r>
      <w:proofErr w:type="spellStart"/>
      <w:r w:rsidRPr="00C7352B">
        <w:rPr>
          <w:rFonts w:cstheme="minorHAnsi"/>
          <w:u w:val="single"/>
        </w:rPr>
        <w:t>self interest</w:t>
      </w:r>
      <w:proofErr w:type="spellEnd"/>
      <w:r w:rsidRPr="00C7352B">
        <w:rPr>
          <w:rFonts w:cstheme="minorHAnsi"/>
          <w:u w:val="single"/>
        </w:rPr>
        <w:t xml:space="preserve"> undermined democracy and corrupted capitalism</w:t>
      </w:r>
      <w:r w:rsidR="00D03EAA">
        <w:rPr>
          <w:rFonts w:cstheme="minorHAnsi"/>
        </w:rPr>
        <w:t>.</w:t>
      </w:r>
      <w:r>
        <w:rPr>
          <w:rFonts w:cstheme="minorHAnsi"/>
        </w:rPr>
        <w:t xml:space="preserve">  </w:t>
      </w:r>
      <w:r w:rsidR="00405A41">
        <w:rPr>
          <w:rFonts w:cstheme="minorHAnsi"/>
        </w:rPr>
        <w:t xml:space="preserve">New York:  </w:t>
      </w:r>
      <w:r>
        <w:rPr>
          <w:rFonts w:cstheme="minorHAnsi"/>
        </w:rPr>
        <w:t xml:space="preserve">Palgrave </w:t>
      </w:r>
      <w:proofErr w:type="spellStart"/>
      <w:r>
        <w:rPr>
          <w:rFonts w:cstheme="minorHAnsi"/>
        </w:rPr>
        <w:t>Macmillan.</w:t>
      </w:r>
      <w:proofErr w:type="spellEnd"/>
    </w:p>
    <w:p w:rsidR="00B774AD" w:rsidRPr="00B774AD" w:rsidRDefault="00B21207" w:rsidP="00B774AD">
      <w:pPr>
        <w:spacing w:line="480" w:lineRule="auto"/>
        <w:rPr>
          <w:rFonts w:cstheme="minorHAnsi"/>
        </w:rPr>
      </w:pPr>
      <w:proofErr w:type="spellStart"/>
      <w:r w:rsidRPr="00B21207">
        <w:rPr>
          <w:rFonts w:eastAsia="Times New Roman" w:cstheme="minorHAnsi"/>
        </w:rPr>
        <w:t>Swagel</w:t>
      </w:r>
      <w:proofErr w:type="spellEnd"/>
      <w:r w:rsidRPr="00B21207">
        <w:rPr>
          <w:rFonts w:eastAsia="Times New Roman" w:cstheme="minorHAnsi"/>
        </w:rPr>
        <w:t xml:space="preserve">, Phillip.  </w:t>
      </w:r>
      <w:r w:rsidR="00747319">
        <w:rPr>
          <w:rFonts w:eastAsia="Times New Roman" w:cstheme="minorHAnsi"/>
        </w:rPr>
        <w:t xml:space="preserve">2009.  </w:t>
      </w:r>
      <w:r w:rsidRPr="00B21207">
        <w:rPr>
          <w:rFonts w:eastAsia="Times New Roman" w:cstheme="minorHAnsi"/>
        </w:rPr>
        <w:t>“The Fina</w:t>
      </w:r>
      <w:r w:rsidR="00747319">
        <w:rPr>
          <w:rFonts w:eastAsia="Times New Roman" w:cstheme="minorHAnsi"/>
        </w:rPr>
        <w:t xml:space="preserve">ncial Crisis:  An Inside View.” </w:t>
      </w:r>
      <w:r w:rsidR="00747319" w:rsidRPr="00747319">
        <w:rPr>
          <w:rFonts w:eastAsia="Times New Roman" w:cstheme="minorHAnsi"/>
          <w:u w:val="single"/>
        </w:rPr>
        <w:t>Brookings Papers on Economic Activity</w:t>
      </w:r>
      <w:r w:rsidR="00747319">
        <w:rPr>
          <w:rFonts w:eastAsia="Times New Roman" w:cstheme="minorHAnsi"/>
        </w:rPr>
        <w:t xml:space="preserve"> (</w:t>
      </w:r>
      <w:proofErr w:type="gramStart"/>
      <w:r w:rsidR="00747319">
        <w:rPr>
          <w:rFonts w:eastAsia="Times New Roman" w:cstheme="minorHAnsi"/>
        </w:rPr>
        <w:t>Spring</w:t>
      </w:r>
      <w:proofErr w:type="gramEnd"/>
      <w:r w:rsidR="00747319">
        <w:rPr>
          <w:rFonts w:eastAsia="Times New Roman" w:cstheme="minorHAnsi"/>
        </w:rPr>
        <w:t>), 1-78.</w:t>
      </w:r>
    </w:p>
    <w:p w:rsidR="005A06AE" w:rsidRPr="00B21207" w:rsidRDefault="005A06AE" w:rsidP="00B774AD">
      <w:pPr>
        <w:spacing w:after="0" w:line="480" w:lineRule="auto"/>
        <w:rPr>
          <w:rFonts w:cstheme="minorHAnsi"/>
        </w:rPr>
      </w:pPr>
      <w:proofErr w:type="spellStart"/>
      <w:r w:rsidRPr="00B21207">
        <w:rPr>
          <w:rFonts w:cstheme="minorHAnsi"/>
        </w:rPr>
        <w:lastRenderedPageBreak/>
        <w:t>Tett</w:t>
      </w:r>
      <w:proofErr w:type="spellEnd"/>
      <w:r w:rsidRPr="00B21207">
        <w:rPr>
          <w:rFonts w:cstheme="minorHAnsi"/>
        </w:rPr>
        <w:t xml:space="preserve">, Gillian.  2009.  </w:t>
      </w:r>
      <w:r w:rsidRPr="00B21207">
        <w:rPr>
          <w:rFonts w:cstheme="minorHAnsi"/>
          <w:u w:val="single"/>
        </w:rPr>
        <w:t>Fool’s Gold:  How the bold dream of a small tribe at J.P. Morgan was corrupted by Wall Street greed and unleashed catastrophe</w:t>
      </w:r>
      <w:r w:rsidRPr="00B21207">
        <w:rPr>
          <w:rFonts w:cstheme="minorHAnsi"/>
        </w:rPr>
        <w:t>.  New York:  Free Press.</w:t>
      </w:r>
    </w:p>
    <w:p w:rsidR="00B21207" w:rsidRPr="00B21207" w:rsidRDefault="00B21207" w:rsidP="00405A41">
      <w:pPr>
        <w:spacing w:after="0" w:line="480" w:lineRule="auto"/>
        <w:rPr>
          <w:rFonts w:eastAsia="Times New Roman" w:cstheme="minorHAnsi"/>
        </w:rPr>
      </w:pPr>
      <w:proofErr w:type="gramStart"/>
      <w:r w:rsidRPr="00B21207">
        <w:rPr>
          <w:rFonts w:eastAsia="Times New Roman" w:cstheme="minorHAnsi"/>
        </w:rPr>
        <w:t>Union Bank of Switzerland</w:t>
      </w:r>
      <w:r w:rsidR="00C7352B">
        <w:rPr>
          <w:rFonts w:eastAsia="Times New Roman" w:cstheme="minorHAnsi"/>
        </w:rPr>
        <w:t>.</w:t>
      </w:r>
      <w:proofErr w:type="gramEnd"/>
      <w:r w:rsidR="00C7352B">
        <w:rPr>
          <w:rFonts w:eastAsia="Times New Roman" w:cstheme="minorHAnsi"/>
        </w:rPr>
        <w:t xml:space="preserve">  2008.</w:t>
      </w:r>
      <w:r w:rsidR="00314C1D">
        <w:rPr>
          <w:rFonts w:eastAsia="Times New Roman" w:cstheme="minorHAnsi"/>
        </w:rPr>
        <w:t xml:space="preserve"> “Shareholder</w:t>
      </w:r>
      <w:r w:rsidRPr="00B21207">
        <w:rPr>
          <w:rFonts w:eastAsia="Times New Roman" w:cstheme="minorHAnsi"/>
        </w:rPr>
        <w:t xml:space="preserve"> Re</w:t>
      </w:r>
      <w:r w:rsidR="00C7352B">
        <w:rPr>
          <w:rFonts w:eastAsia="Times New Roman" w:cstheme="minorHAnsi"/>
        </w:rPr>
        <w:t>port on UBS’s Write-Downs</w:t>
      </w:r>
      <w:r w:rsidRPr="00B21207">
        <w:rPr>
          <w:rFonts w:eastAsia="Times New Roman" w:cstheme="minorHAnsi"/>
        </w:rPr>
        <w:t>.</w:t>
      </w:r>
      <w:r w:rsidR="00C7352B">
        <w:rPr>
          <w:rFonts w:eastAsia="Times New Roman" w:cstheme="minorHAnsi"/>
        </w:rPr>
        <w:t>”</w:t>
      </w:r>
      <w:r w:rsidR="00314C1D" w:rsidRPr="00314C1D">
        <w:t xml:space="preserve"> </w:t>
      </w:r>
      <w:r w:rsidR="00314C1D" w:rsidRPr="00314C1D">
        <w:rPr>
          <w:rFonts w:eastAsia="Times New Roman" w:cstheme="minorHAnsi"/>
        </w:rPr>
        <w:t>http://www.ubs.com/1/ShowMedia/investors/agm?contentId=1</w:t>
      </w:r>
      <w:r w:rsidR="00B774AD">
        <w:rPr>
          <w:rFonts w:eastAsia="Times New Roman" w:cstheme="minorHAnsi"/>
        </w:rPr>
        <w:t>40333&amp;name=080418ShareholderRepo</w:t>
      </w:r>
      <w:r w:rsidR="00314C1D" w:rsidRPr="00314C1D">
        <w:rPr>
          <w:rFonts w:eastAsia="Times New Roman" w:cstheme="minorHAnsi"/>
        </w:rPr>
        <w:t>rt</w:t>
      </w:r>
      <w:bookmarkStart w:id="0" w:name="_GoBack"/>
      <w:bookmarkEnd w:id="0"/>
      <w:r w:rsidR="00314C1D" w:rsidRPr="00314C1D">
        <w:rPr>
          <w:rFonts w:eastAsia="Times New Roman" w:cstheme="minorHAnsi"/>
        </w:rPr>
        <w:t>.pdf</w:t>
      </w:r>
    </w:p>
    <w:p w:rsidR="00135867" w:rsidRPr="00B21207" w:rsidRDefault="00135867" w:rsidP="00405A41">
      <w:pPr>
        <w:spacing w:line="480" w:lineRule="auto"/>
        <w:rPr>
          <w:rFonts w:cstheme="minorHAnsi"/>
        </w:rPr>
      </w:pPr>
    </w:p>
    <w:sectPr w:rsidR="00135867" w:rsidRPr="00B212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9E" w:rsidRDefault="00976E9E" w:rsidP="00047D47">
      <w:pPr>
        <w:spacing w:after="0" w:line="240" w:lineRule="auto"/>
      </w:pPr>
      <w:r>
        <w:separator/>
      </w:r>
    </w:p>
  </w:endnote>
  <w:endnote w:type="continuationSeparator" w:id="0">
    <w:p w:rsidR="00976E9E" w:rsidRDefault="00976E9E" w:rsidP="0004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9E" w:rsidRDefault="00976E9E" w:rsidP="00047D47">
      <w:pPr>
        <w:spacing w:after="0" w:line="240" w:lineRule="auto"/>
      </w:pPr>
      <w:r>
        <w:separator/>
      </w:r>
    </w:p>
  </w:footnote>
  <w:footnote w:type="continuationSeparator" w:id="0">
    <w:p w:rsidR="00976E9E" w:rsidRDefault="00976E9E" w:rsidP="00047D47">
      <w:pPr>
        <w:spacing w:after="0" w:line="240" w:lineRule="auto"/>
      </w:pPr>
      <w:r>
        <w:continuationSeparator/>
      </w:r>
    </w:p>
  </w:footnote>
  <w:footnote w:id="1">
    <w:p w:rsidR="002D2206" w:rsidRDefault="002D2206" w:rsidP="00747319">
      <w:pPr>
        <w:pStyle w:val="FootnoteText"/>
      </w:pPr>
      <w:r>
        <w:rPr>
          <w:rStyle w:val="FootnoteReference"/>
        </w:rPr>
        <w:footnoteRef/>
      </w:r>
      <w:r>
        <w:t xml:space="preserve"> Although my own account of the crisis focuses on the Fed (Mehrling 2011), a rounded understanding of government response requires at a minimum also understanding the roles of the Treasury (</w:t>
      </w:r>
      <w:proofErr w:type="spellStart"/>
      <w:r>
        <w:t>Swagel</w:t>
      </w:r>
      <w:proofErr w:type="spellEnd"/>
      <w:r>
        <w:t xml:space="preserve"> 2009), the Federal Home Loan Bank (Ferguson and Johnson 2009), the Congress (FCIC 2011, SIGTARP 2009), and even the global dollar funding system (McGuire and von Peter 2009).   In academic circles, </w:t>
      </w:r>
      <w:proofErr w:type="spellStart"/>
      <w:r>
        <w:t>Brunnermeier</w:t>
      </w:r>
      <w:proofErr w:type="spellEnd"/>
      <w:r>
        <w:t xml:space="preserve"> (2009), Gorton (2010), and Krishnamurthy (2010) have become standard accounts.  See also the invaluable “Federal Reserve Policy Responses to the Financial Crisis” published as a special issue of the Federal Reserve of New York’s </w:t>
      </w:r>
      <w:r w:rsidRPr="002D2206">
        <w:rPr>
          <w:u w:val="single"/>
        </w:rPr>
        <w:t>Economic Policy Review</w:t>
      </w:r>
      <w:r>
        <w:t xml:space="preserve"> (May 2011).</w:t>
      </w:r>
    </w:p>
  </w:footnote>
  <w:footnote w:id="2">
    <w:p w:rsidR="002D2206" w:rsidRDefault="002D2206">
      <w:pPr>
        <w:pStyle w:val="FootnoteText"/>
      </w:pPr>
      <w:r>
        <w:rPr>
          <w:rStyle w:val="FootnoteReference"/>
        </w:rPr>
        <w:footnoteRef/>
      </w:r>
      <w:r>
        <w:t xml:space="preserve"> </w:t>
      </w:r>
      <w:proofErr w:type="gramStart"/>
      <w:r>
        <w:t>Grad, Mehrling, Neilson (2011).</w:t>
      </w:r>
      <w:proofErr w:type="gramEnd"/>
    </w:p>
  </w:footnote>
  <w:footnote w:id="3">
    <w:p w:rsidR="002D2206" w:rsidRDefault="002D2206">
      <w:pPr>
        <w:pStyle w:val="FootnoteText"/>
      </w:pPr>
      <w:r>
        <w:rPr>
          <w:rStyle w:val="FootnoteReference"/>
        </w:rPr>
        <w:footnoteRef/>
      </w:r>
      <w:r>
        <w:t xml:space="preserve"> To my knowledge, Minsky (1987) was the first to suggest this connection as a link between securitization and globalization, but he lacked the background in finance to develop the point further.</w:t>
      </w:r>
    </w:p>
  </w:footnote>
  <w:footnote w:id="4">
    <w:p w:rsidR="002D2206" w:rsidRDefault="002D2206">
      <w:pPr>
        <w:pStyle w:val="FootnoteText"/>
      </w:pPr>
      <w:r>
        <w:rPr>
          <w:rStyle w:val="FootnoteReference"/>
        </w:rPr>
        <w:footnoteRef/>
      </w:r>
      <w:r>
        <w:t xml:space="preserve"> For a more detailed account, see Pozsar et al (2010).</w:t>
      </w:r>
    </w:p>
  </w:footnote>
  <w:footnote w:id="5">
    <w:p w:rsidR="002D2206" w:rsidRDefault="002D2206">
      <w:pPr>
        <w:pStyle w:val="FootnoteText"/>
      </w:pPr>
      <w:r>
        <w:rPr>
          <w:rStyle w:val="FootnoteReference"/>
        </w:rPr>
        <w:footnoteRef/>
      </w:r>
      <w:r>
        <w:t xml:space="preserve"> Observe that I treat derivative contracts as (contingent) assets of the insured and (contingent) liabilities of the insurer.  </w:t>
      </w:r>
    </w:p>
  </w:footnote>
  <w:footnote w:id="6">
    <w:p w:rsidR="002D2206" w:rsidRDefault="002D2206">
      <w:pPr>
        <w:pStyle w:val="FootnoteText"/>
      </w:pPr>
      <w:r>
        <w:rPr>
          <w:rStyle w:val="FootnoteReference"/>
        </w:rPr>
        <w:footnoteRef/>
      </w:r>
      <w:r>
        <w:t xml:space="preserve"> Charles Morris (2008) famously emphasized the exposure of these hedge funds as the potential breaking point of the system as a whole, on account of their leverage; he was certainly prescient about the fragility of the system, but off target about how the system would break.  </w:t>
      </w:r>
    </w:p>
  </w:footnote>
  <w:footnote w:id="7">
    <w:p w:rsidR="002D2206" w:rsidRDefault="002D2206" w:rsidP="007D31D2">
      <w:pPr>
        <w:pStyle w:val="FootnoteText"/>
      </w:pPr>
      <w:r>
        <w:rPr>
          <w:rStyle w:val="FootnoteReference"/>
        </w:rPr>
        <w:footnoteRef/>
      </w:r>
      <w:r>
        <w:t xml:space="preserve"> To avoid proliferation of balance sheets, Figure 1 does not show explicitly the shadow bank’s source of funding (MMMF), or the issuer of the liquidity put (the traditional banking system).</w:t>
      </w:r>
    </w:p>
  </w:footnote>
  <w:footnote w:id="8">
    <w:p w:rsidR="002D2206" w:rsidRDefault="002D2206">
      <w:pPr>
        <w:pStyle w:val="FootnoteText"/>
      </w:pPr>
      <w:r>
        <w:rPr>
          <w:rStyle w:val="FootnoteReference"/>
        </w:rPr>
        <w:footnoteRef/>
      </w:r>
      <w:r>
        <w:t xml:space="preserve"> </w:t>
      </w:r>
      <w:proofErr w:type="gramStart"/>
      <w:r>
        <w:t>Shin and Shin (2011).</w:t>
      </w:r>
      <w:proofErr w:type="gramEnd"/>
    </w:p>
  </w:footnote>
  <w:footnote w:id="9">
    <w:p w:rsidR="002D2206" w:rsidRDefault="002D2206" w:rsidP="000007A4">
      <w:pPr>
        <w:pStyle w:val="FootnoteText"/>
      </w:pPr>
      <w:r>
        <w:rPr>
          <w:rStyle w:val="FootnoteReference"/>
        </w:rPr>
        <w:footnoteRef/>
      </w:r>
      <w:r>
        <w:t xml:space="preserve"> The famous UBS Shareholders Report (2008) tells the tale of one such global Shadow Bank.  Bank for International Settlements (2010) tells the tale of the disruption of the global funding system more generally.</w:t>
      </w:r>
    </w:p>
  </w:footnote>
  <w:footnote w:id="10">
    <w:p w:rsidR="002D2206" w:rsidRDefault="002D2206">
      <w:pPr>
        <w:pStyle w:val="FootnoteText"/>
      </w:pPr>
      <w:r>
        <w:rPr>
          <w:rStyle w:val="FootnoteReference"/>
        </w:rPr>
        <w:footnoteRef/>
      </w:r>
      <w:r>
        <w:t xml:space="preserve"> Mortgage backed securities were inherently less liquid than government and corporate bonds, which competed for investor funds.   So Fannie and Freddie used their borrowing power, as Government Sponsored Entities, to make markets, backstopped by the Fed.  This system broke down in the crisis.  The Treasury took Fannie and Freddie into conservatorship, while the Fed took a trillion </w:t>
      </w:r>
      <w:proofErr w:type="gramStart"/>
      <w:r>
        <w:t>dollars  of</w:t>
      </w:r>
      <w:proofErr w:type="gramEnd"/>
      <w:r>
        <w:t xml:space="preserve"> MBS onto its own balance sheet.  David </w:t>
      </w:r>
      <w:proofErr w:type="spellStart"/>
      <w:r>
        <w:t>Scharfstein</w:t>
      </w:r>
      <w:proofErr w:type="spellEnd"/>
      <w:r>
        <w:t xml:space="preserve"> (2011) surveys the current state of play regarding reform of the GSEs.</w:t>
      </w:r>
    </w:p>
  </w:footnote>
  <w:footnote w:id="11">
    <w:p w:rsidR="002D2206" w:rsidRDefault="002D2206">
      <w:pPr>
        <w:pStyle w:val="FootnoteText"/>
      </w:pPr>
      <w:r>
        <w:rPr>
          <w:rStyle w:val="FootnoteReference"/>
        </w:rPr>
        <w:footnoteRef/>
      </w:r>
      <w:r>
        <w:t xml:space="preserve"> www.imf.org/external/np/exr/facts/fcl.htm</w:t>
      </w:r>
    </w:p>
  </w:footnote>
  <w:footnote w:id="12">
    <w:p w:rsidR="002D2206" w:rsidRDefault="002D2206">
      <w:pPr>
        <w:pStyle w:val="FootnoteText"/>
      </w:pPr>
      <w:r>
        <w:rPr>
          <w:rStyle w:val="FootnoteReference"/>
        </w:rPr>
        <w:footnoteRef/>
      </w:r>
      <w:r>
        <w:t xml:space="preserve"> Pozsar (2011) emphasizes the empirical importance of cash pools looking for the kind of cash assets produced by the shadow banking system.  In what follows, I focus on one particular, but rather generic, source of such demand.  See also Caballero (2006).</w:t>
      </w:r>
    </w:p>
  </w:footnote>
  <w:footnote w:id="13">
    <w:p w:rsidR="002D2206" w:rsidRDefault="002D2206">
      <w:pPr>
        <w:pStyle w:val="FootnoteText"/>
      </w:pPr>
      <w:r>
        <w:rPr>
          <w:rStyle w:val="FootnoteReference"/>
        </w:rPr>
        <w:footnoteRef/>
      </w:r>
      <w:r>
        <w:t xml:space="preserve"> For invaluable detail on the plumbing, see Singh and Aitken (2010) and Singh (2011).</w:t>
      </w:r>
    </w:p>
  </w:footnote>
  <w:footnote w:id="14">
    <w:p w:rsidR="002D2206" w:rsidRDefault="002D2206" w:rsidP="00DB444B">
      <w:pPr>
        <w:pStyle w:val="FootnoteText"/>
      </w:pPr>
      <w:r>
        <w:rPr>
          <w:rStyle w:val="FootnoteReference"/>
        </w:rPr>
        <w:footnoteRef/>
      </w:r>
      <w:r>
        <w:t xml:space="preserve"> </w:t>
      </w:r>
      <w:proofErr w:type="spellStart"/>
      <w:r>
        <w:t>Tett</w:t>
      </w:r>
      <w:proofErr w:type="spellEnd"/>
      <w:r>
        <w:t xml:space="preserve"> (2009) tells the story of the first CDS, used by J.P. Morgan originally to insure the tail risk for a portfolio of corporate loans.</w:t>
      </w:r>
    </w:p>
  </w:footnote>
  <w:footnote w:id="15">
    <w:p w:rsidR="00F5016F" w:rsidRDefault="00F5016F">
      <w:pPr>
        <w:pStyle w:val="FootnoteText"/>
      </w:pPr>
      <w:r>
        <w:rPr>
          <w:rStyle w:val="FootnoteReference"/>
        </w:rPr>
        <w:footnoteRef/>
      </w:r>
      <w:r>
        <w:t xml:space="preserve"> The distinction between funding liquidity and market liquidity builds on </w:t>
      </w:r>
      <w:proofErr w:type="spellStart"/>
      <w:r>
        <w:t>Brunnermeier</w:t>
      </w:r>
      <w:proofErr w:type="spellEnd"/>
      <w:r>
        <w:t xml:space="preserve"> and Pedersen (2009).</w:t>
      </w:r>
    </w:p>
  </w:footnote>
  <w:footnote w:id="16">
    <w:p w:rsidR="002D2206" w:rsidRDefault="002D2206" w:rsidP="00863A5E">
      <w:pPr>
        <w:pStyle w:val="FootnoteText"/>
      </w:pPr>
      <w:r>
        <w:rPr>
          <w:rStyle w:val="FootnoteReference"/>
        </w:rPr>
        <w:footnoteRef/>
      </w:r>
      <w:r>
        <w:t xml:space="preserve"> What follows is essentially a further development of the contemporaneous account in Mehrling (2010).   Gorton (2010) has a different story about CDS which emphasizes the role of the ABX index in pooling information that was formerly widely distributed, hence making public what had previously been private.  In his telling of the story, this institutional innovation revealed the mispricing of the underlying mortgages.</w:t>
      </w:r>
    </w:p>
  </w:footnote>
  <w:footnote w:id="17">
    <w:p w:rsidR="002D2206" w:rsidRDefault="002D2206">
      <w:pPr>
        <w:pStyle w:val="FootnoteText"/>
      </w:pPr>
      <w:r>
        <w:rPr>
          <w:rStyle w:val="FootnoteReference"/>
        </w:rPr>
        <w:footnoteRef/>
      </w:r>
      <w:r>
        <w:t xml:space="preserve"> My inspiration for this account is the story of </w:t>
      </w:r>
      <w:proofErr w:type="spellStart"/>
      <w:r>
        <w:t>Magnetar</w:t>
      </w:r>
      <w:proofErr w:type="spellEnd"/>
      <w:r>
        <w:t>, told in Yves Smith (2010).</w:t>
      </w:r>
    </w:p>
  </w:footnote>
  <w:footnote w:id="18">
    <w:p w:rsidR="002D2206" w:rsidRDefault="002D2206" w:rsidP="00F156D2">
      <w:pPr>
        <w:pStyle w:val="FootnoteText"/>
      </w:pPr>
      <w:r>
        <w:rPr>
          <w:rStyle w:val="FootnoteReference"/>
        </w:rPr>
        <w:footnoteRef/>
      </w:r>
      <w:r>
        <w:t xml:space="preserve"> I remind you that my balance sheet headings are meant to be conceptual only.  It often happened that an investment bank held the Lo Tranche itself in order to get the deal done, essentially a consolidation of the Investment Bank and Hedge Fund balance sheets.</w:t>
      </w:r>
    </w:p>
  </w:footnote>
  <w:footnote w:id="19">
    <w:p w:rsidR="002D2206" w:rsidRDefault="002D2206">
      <w:pPr>
        <w:pStyle w:val="FootnoteText"/>
      </w:pPr>
      <w:r>
        <w:rPr>
          <w:rStyle w:val="FootnoteReference"/>
        </w:rPr>
        <w:footnoteRef/>
      </w:r>
      <w:r>
        <w:t xml:space="preserve"> My treatment of AIG is inspired by the account of SIGTARP (2010).</w:t>
      </w:r>
    </w:p>
  </w:footnote>
  <w:footnote w:id="20">
    <w:p w:rsidR="002D2206" w:rsidRDefault="002D2206">
      <w:pPr>
        <w:pStyle w:val="FootnoteText"/>
      </w:pPr>
      <w:r>
        <w:rPr>
          <w:rStyle w:val="FootnoteReference"/>
        </w:rPr>
        <w:footnoteRef/>
      </w:r>
      <w:r>
        <w:t xml:space="preserve"> My inspiration for this account is the story of Abacus, laid out in the SEC complaint (SEC 2010).</w:t>
      </w:r>
    </w:p>
  </w:footnote>
  <w:footnote w:id="21">
    <w:p w:rsidR="00E40424" w:rsidRDefault="00E40424">
      <w:pPr>
        <w:pStyle w:val="FootnoteText"/>
      </w:pPr>
      <w:r>
        <w:rPr>
          <w:rStyle w:val="FootnoteReference"/>
        </w:rPr>
        <w:footnoteRef/>
      </w:r>
      <w:r>
        <w:t xml:space="preserve"> It should be pointed out that these numbers are low end estimates of overall government exposure.  Most of the implicit credit default exposure is on the balance sheet of the Treasury, not the Fed, as a consequence of its backstop of Fannie and Freddie.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76908"/>
      <w:docPartObj>
        <w:docPartGallery w:val="Page Numbers (Top of Page)"/>
        <w:docPartUnique/>
      </w:docPartObj>
    </w:sdtPr>
    <w:sdtEndPr>
      <w:rPr>
        <w:noProof/>
      </w:rPr>
    </w:sdtEndPr>
    <w:sdtContent>
      <w:p w:rsidR="002D2206" w:rsidRDefault="002D2206">
        <w:pPr>
          <w:pStyle w:val="Header"/>
          <w:jc w:val="right"/>
        </w:pPr>
        <w:r>
          <w:fldChar w:fldCharType="begin"/>
        </w:r>
        <w:r>
          <w:instrText xml:space="preserve"> PAGE   \* MERGEFORMAT </w:instrText>
        </w:r>
        <w:r>
          <w:fldChar w:fldCharType="separate"/>
        </w:r>
        <w:r w:rsidR="00B774AD">
          <w:rPr>
            <w:noProof/>
          </w:rPr>
          <w:t>27</w:t>
        </w:r>
        <w:r>
          <w:rPr>
            <w:noProof/>
          </w:rPr>
          <w:fldChar w:fldCharType="end"/>
        </w:r>
      </w:p>
    </w:sdtContent>
  </w:sdt>
  <w:p w:rsidR="002D2206" w:rsidRDefault="002D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357D"/>
    <w:multiLevelType w:val="hybridMultilevel"/>
    <w:tmpl w:val="691CBD60"/>
    <w:lvl w:ilvl="0" w:tplc="4540F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C000F"/>
    <w:multiLevelType w:val="hybridMultilevel"/>
    <w:tmpl w:val="C278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114A"/>
    <w:multiLevelType w:val="multilevel"/>
    <w:tmpl w:val="E0B07900"/>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14F3911"/>
    <w:multiLevelType w:val="hybridMultilevel"/>
    <w:tmpl w:val="85B88DC0"/>
    <w:lvl w:ilvl="0" w:tplc="E6AA9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0A"/>
    <w:rsid w:val="000007A4"/>
    <w:rsid w:val="0001015B"/>
    <w:rsid w:val="00021144"/>
    <w:rsid w:val="000232E3"/>
    <w:rsid w:val="00047D47"/>
    <w:rsid w:val="00075CEE"/>
    <w:rsid w:val="0008132E"/>
    <w:rsid w:val="00083E14"/>
    <w:rsid w:val="00092648"/>
    <w:rsid w:val="000D2CE9"/>
    <w:rsid w:val="00131DE9"/>
    <w:rsid w:val="00135867"/>
    <w:rsid w:val="001457B6"/>
    <w:rsid w:val="00152D4D"/>
    <w:rsid w:val="00175DEF"/>
    <w:rsid w:val="0019030B"/>
    <w:rsid w:val="001B6A39"/>
    <w:rsid w:val="001D468F"/>
    <w:rsid w:val="001F57AE"/>
    <w:rsid w:val="00206C46"/>
    <w:rsid w:val="0022339B"/>
    <w:rsid w:val="0023280A"/>
    <w:rsid w:val="0027291B"/>
    <w:rsid w:val="002745B8"/>
    <w:rsid w:val="00280852"/>
    <w:rsid w:val="002A4EF3"/>
    <w:rsid w:val="002B080F"/>
    <w:rsid w:val="002C0522"/>
    <w:rsid w:val="002C0A2E"/>
    <w:rsid w:val="002C193A"/>
    <w:rsid w:val="002C5788"/>
    <w:rsid w:val="002C6786"/>
    <w:rsid w:val="002D2206"/>
    <w:rsid w:val="003024F6"/>
    <w:rsid w:val="00310CF7"/>
    <w:rsid w:val="00314C1D"/>
    <w:rsid w:val="00314E50"/>
    <w:rsid w:val="0032210E"/>
    <w:rsid w:val="00335E84"/>
    <w:rsid w:val="003558FE"/>
    <w:rsid w:val="00366E5E"/>
    <w:rsid w:val="003812E7"/>
    <w:rsid w:val="00382CC9"/>
    <w:rsid w:val="003F6E3E"/>
    <w:rsid w:val="00405A41"/>
    <w:rsid w:val="00454A80"/>
    <w:rsid w:val="00475F56"/>
    <w:rsid w:val="00486AAA"/>
    <w:rsid w:val="004B0A2C"/>
    <w:rsid w:val="004C7325"/>
    <w:rsid w:val="004F647F"/>
    <w:rsid w:val="00522C00"/>
    <w:rsid w:val="00532D54"/>
    <w:rsid w:val="005418EE"/>
    <w:rsid w:val="005637F4"/>
    <w:rsid w:val="0058696F"/>
    <w:rsid w:val="00587668"/>
    <w:rsid w:val="005A0476"/>
    <w:rsid w:val="005A06AE"/>
    <w:rsid w:val="005B1045"/>
    <w:rsid w:val="005E289F"/>
    <w:rsid w:val="005E4C34"/>
    <w:rsid w:val="005E5FF6"/>
    <w:rsid w:val="006054E0"/>
    <w:rsid w:val="006110CD"/>
    <w:rsid w:val="00656B37"/>
    <w:rsid w:val="00677447"/>
    <w:rsid w:val="006918A9"/>
    <w:rsid w:val="006E3DA7"/>
    <w:rsid w:val="006E5B80"/>
    <w:rsid w:val="00707800"/>
    <w:rsid w:val="00714B5E"/>
    <w:rsid w:val="00724295"/>
    <w:rsid w:val="00732F0F"/>
    <w:rsid w:val="00745CBA"/>
    <w:rsid w:val="00747319"/>
    <w:rsid w:val="00747A86"/>
    <w:rsid w:val="00753FAD"/>
    <w:rsid w:val="0077316A"/>
    <w:rsid w:val="00781C3D"/>
    <w:rsid w:val="00784D63"/>
    <w:rsid w:val="007D02D3"/>
    <w:rsid w:val="007D31D2"/>
    <w:rsid w:val="007D5420"/>
    <w:rsid w:val="007E02A1"/>
    <w:rsid w:val="007E5AF6"/>
    <w:rsid w:val="00805CC4"/>
    <w:rsid w:val="00813527"/>
    <w:rsid w:val="0083335E"/>
    <w:rsid w:val="00863A5E"/>
    <w:rsid w:val="0089395D"/>
    <w:rsid w:val="008A3A82"/>
    <w:rsid w:val="008E0FE1"/>
    <w:rsid w:val="00900A56"/>
    <w:rsid w:val="00914E24"/>
    <w:rsid w:val="00916C99"/>
    <w:rsid w:val="00925785"/>
    <w:rsid w:val="00926441"/>
    <w:rsid w:val="00934BA6"/>
    <w:rsid w:val="00941723"/>
    <w:rsid w:val="00976E9E"/>
    <w:rsid w:val="00981E21"/>
    <w:rsid w:val="009D29A2"/>
    <w:rsid w:val="009D7295"/>
    <w:rsid w:val="009E292D"/>
    <w:rsid w:val="00A010ED"/>
    <w:rsid w:val="00A16C74"/>
    <w:rsid w:val="00A30268"/>
    <w:rsid w:val="00A5533B"/>
    <w:rsid w:val="00A568AA"/>
    <w:rsid w:val="00A60854"/>
    <w:rsid w:val="00A93302"/>
    <w:rsid w:val="00AB3112"/>
    <w:rsid w:val="00AB3F5D"/>
    <w:rsid w:val="00AC17C5"/>
    <w:rsid w:val="00AC7F52"/>
    <w:rsid w:val="00AF6E8D"/>
    <w:rsid w:val="00AF7534"/>
    <w:rsid w:val="00B21207"/>
    <w:rsid w:val="00B273D9"/>
    <w:rsid w:val="00B41B98"/>
    <w:rsid w:val="00B44DAB"/>
    <w:rsid w:val="00B6363D"/>
    <w:rsid w:val="00B74402"/>
    <w:rsid w:val="00B774AD"/>
    <w:rsid w:val="00BA5633"/>
    <w:rsid w:val="00BA68AD"/>
    <w:rsid w:val="00BC7896"/>
    <w:rsid w:val="00BF6CE2"/>
    <w:rsid w:val="00C00C25"/>
    <w:rsid w:val="00C237AD"/>
    <w:rsid w:val="00C245AA"/>
    <w:rsid w:val="00C31AAD"/>
    <w:rsid w:val="00C7352B"/>
    <w:rsid w:val="00C918EC"/>
    <w:rsid w:val="00CA377E"/>
    <w:rsid w:val="00CA6DFB"/>
    <w:rsid w:val="00CC4EEA"/>
    <w:rsid w:val="00CC6301"/>
    <w:rsid w:val="00CC7A1F"/>
    <w:rsid w:val="00D03EAA"/>
    <w:rsid w:val="00D3255D"/>
    <w:rsid w:val="00D45C45"/>
    <w:rsid w:val="00D73AB0"/>
    <w:rsid w:val="00D73B6A"/>
    <w:rsid w:val="00D8756A"/>
    <w:rsid w:val="00D9745E"/>
    <w:rsid w:val="00DA3346"/>
    <w:rsid w:val="00DB444B"/>
    <w:rsid w:val="00DF06AC"/>
    <w:rsid w:val="00E02160"/>
    <w:rsid w:val="00E15ED5"/>
    <w:rsid w:val="00E1729D"/>
    <w:rsid w:val="00E40424"/>
    <w:rsid w:val="00E4323A"/>
    <w:rsid w:val="00E830BA"/>
    <w:rsid w:val="00E87086"/>
    <w:rsid w:val="00EB73E2"/>
    <w:rsid w:val="00EE0B75"/>
    <w:rsid w:val="00EF7E23"/>
    <w:rsid w:val="00F05D71"/>
    <w:rsid w:val="00F156D2"/>
    <w:rsid w:val="00F34121"/>
    <w:rsid w:val="00F407F5"/>
    <w:rsid w:val="00F5016F"/>
    <w:rsid w:val="00F61E03"/>
    <w:rsid w:val="00F67FBA"/>
    <w:rsid w:val="00F957F9"/>
    <w:rsid w:val="00FA73AA"/>
    <w:rsid w:val="00FA7AAD"/>
    <w:rsid w:val="00FB30D1"/>
    <w:rsid w:val="00FB36BE"/>
    <w:rsid w:val="00FD2CAC"/>
    <w:rsid w:val="00F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7D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D47"/>
    <w:rPr>
      <w:sz w:val="20"/>
      <w:szCs w:val="20"/>
    </w:rPr>
  </w:style>
  <w:style w:type="character" w:styleId="EndnoteReference">
    <w:name w:val="endnote reference"/>
    <w:basedOn w:val="DefaultParagraphFont"/>
    <w:uiPriority w:val="99"/>
    <w:semiHidden/>
    <w:unhideWhenUsed/>
    <w:rsid w:val="00047D47"/>
    <w:rPr>
      <w:vertAlign w:val="superscript"/>
    </w:rPr>
  </w:style>
  <w:style w:type="paragraph" w:styleId="BalloonText">
    <w:name w:val="Balloon Text"/>
    <w:basedOn w:val="Normal"/>
    <w:link w:val="BalloonTextChar"/>
    <w:uiPriority w:val="99"/>
    <w:semiHidden/>
    <w:unhideWhenUsed/>
    <w:rsid w:val="0027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1B"/>
    <w:rPr>
      <w:rFonts w:ascii="Tahoma" w:hAnsi="Tahoma" w:cs="Tahoma"/>
      <w:sz w:val="16"/>
      <w:szCs w:val="16"/>
    </w:rPr>
  </w:style>
  <w:style w:type="table" w:styleId="TableGrid">
    <w:name w:val="Table Grid"/>
    <w:basedOn w:val="TableNormal"/>
    <w:uiPriority w:val="59"/>
    <w:rsid w:val="006E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8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668"/>
    <w:rPr>
      <w:sz w:val="20"/>
      <w:szCs w:val="20"/>
    </w:rPr>
  </w:style>
  <w:style w:type="character" w:styleId="FootnoteReference">
    <w:name w:val="footnote reference"/>
    <w:basedOn w:val="DefaultParagraphFont"/>
    <w:uiPriority w:val="99"/>
    <w:semiHidden/>
    <w:unhideWhenUsed/>
    <w:rsid w:val="00587668"/>
    <w:rPr>
      <w:vertAlign w:val="superscript"/>
    </w:rPr>
  </w:style>
  <w:style w:type="paragraph" w:styleId="ListParagraph">
    <w:name w:val="List Paragraph"/>
    <w:basedOn w:val="Normal"/>
    <w:uiPriority w:val="34"/>
    <w:qFormat/>
    <w:rsid w:val="00314E50"/>
    <w:pPr>
      <w:ind w:left="720"/>
      <w:contextualSpacing/>
    </w:pPr>
  </w:style>
  <w:style w:type="paragraph" w:styleId="Header">
    <w:name w:val="header"/>
    <w:basedOn w:val="Normal"/>
    <w:link w:val="HeaderChar"/>
    <w:uiPriority w:val="99"/>
    <w:unhideWhenUsed/>
    <w:rsid w:val="0002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44"/>
  </w:style>
  <w:style w:type="paragraph" w:styleId="Footer">
    <w:name w:val="footer"/>
    <w:basedOn w:val="Normal"/>
    <w:link w:val="FooterChar"/>
    <w:uiPriority w:val="99"/>
    <w:unhideWhenUsed/>
    <w:rsid w:val="0002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44"/>
  </w:style>
  <w:style w:type="character" w:styleId="Hyperlink">
    <w:name w:val="Hyperlink"/>
    <w:basedOn w:val="DefaultParagraphFont"/>
    <w:uiPriority w:val="99"/>
    <w:unhideWhenUsed/>
    <w:rsid w:val="00C73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7D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D47"/>
    <w:rPr>
      <w:sz w:val="20"/>
      <w:szCs w:val="20"/>
    </w:rPr>
  </w:style>
  <w:style w:type="character" w:styleId="EndnoteReference">
    <w:name w:val="endnote reference"/>
    <w:basedOn w:val="DefaultParagraphFont"/>
    <w:uiPriority w:val="99"/>
    <w:semiHidden/>
    <w:unhideWhenUsed/>
    <w:rsid w:val="00047D47"/>
    <w:rPr>
      <w:vertAlign w:val="superscript"/>
    </w:rPr>
  </w:style>
  <w:style w:type="paragraph" w:styleId="BalloonText">
    <w:name w:val="Balloon Text"/>
    <w:basedOn w:val="Normal"/>
    <w:link w:val="BalloonTextChar"/>
    <w:uiPriority w:val="99"/>
    <w:semiHidden/>
    <w:unhideWhenUsed/>
    <w:rsid w:val="0027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1B"/>
    <w:rPr>
      <w:rFonts w:ascii="Tahoma" w:hAnsi="Tahoma" w:cs="Tahoma"/>
      <w:sz w:val="16"/>
      <w:szCs w:val="16"/>
    </w:rPr>
  </w:style>
  <w:style w:type="table" w:styleId="TableGrid">
    <w:name w:val="Table Grid"/>
    <w:basedOn w:val="TableNormal"/>
    <w:uiPriority w:val="59"/>
    <w:rsid w:val="006E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8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668"/>
    <w:rPr>
      <w:sz w:val="20"/>
      <w:szCs w:val="20"/>
    </w:rPr>
  </w:style>
  <w:style w:type="character" w:styleId="FootnoteReference">
    <w:name w:val="footnote reference"/>
    <w:basedOn w:val="DefaultParagraphFont"/>
    <w:uiPriority w:val="99"/>
    <w:semiHidden/>
    <w:unhideWhenUsed/>
    <w:rsid w:val="00587668"/>
    <w:rPr>
      <w:vertAlign w:val="superscript"/>
    </w:rPr>
  </w:style>
  <w:style w:type="paragraph" w:styleId="ListParagraph">
    <w:name w:val="List Paragraph"/>
    <w:basedOn w:val="Normal"/>
    <w:uiPriority w:val="34"/>
    <w:qFormat/>
    <w:rsid w:val="00314E50"/>
    <w:pPr>
      <w:ind w:left="720"/>
      <w:contextualSpacing/>
    </w:pPr>
  </w:style>
  <w:style w:type="paragraph" w:styleId="Header">
    <w:name w:val="header"/>
    <w:basedOn w:val="Normal"/>
    <w:link w:val="HeaderChar"/>
    <w:uiPriority w:val="99"/>
    <w:unhideWhenUsed/>
    <w:rsid w:val="0002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44"/>
  </w:style>
  <w:style w:type="paragraph" w:styleId="Footer">
    <w:name w:val="footer"/>
    <w:basedOn w:val="Normal"/>
    <w:link w:val="FooterChar"/>
    <w:uiPriority w:val="99"/>
    <w:unhideWhenUsed/>
    <w:rsid w:val="0002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44"/>
  </w:style>
  <w:style w:type="character" w:styleId="Hyperlink">
    <w:name w:val="Hyperlink"/>
    <w:basedOn w:val="DefaultParagraphFont"/>
    <w:uiPriority w:val="99"/>
    <w:unhideWhenUsed/>
    <w:rsid w:val="00C73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gov/litigation/complaints/2010/comp-pr2010-59.pdf" TargetMode="External"/><Relationship Id="rId5" Type="http://schemas.openxmlformats.org/officeDocument/2006/relationships/settings" Target="settings.xml"/><Relationship Id="rId10" Type="http://schemas.openxmlformats.org/officeDocument/2006/relationships/hyperlink" Target="http://www.bankofengland.co.uk/publications/speeches/2011/speech509.pdf" TargetMode="External"/><Relationship Id="rId4" Type="http://schemas.microsoft.com/office/2007/relationships/stylesWithEffects" Target="stylesWithEffects.xml"/><Relationship Id="rId9" Type="http://schemas.openxmlformats.org/officeDocument/2006/relationships/hyperlink" Target="http://danielneilson.com/media/pdf/grad_mehrling_neilson-lat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7A6-CBE3-486C-B107-403F5855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27</Pages>
  <Words>5271</Words>
  <Characters>30048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Mehrling take two</dc:creator>
  <cp:lastModifiedBy>Perry Mehrling take two</cp:lastModifiedBy>
  <cp:revision>5</cp:revision>
  <cp:lastPrinted>2011-07-09T20:19:00Z</cp:lastPrinted>
  <dcterms:created xsi:type="dcterms:W3CDTF">2012-04-22T11:11:00Z</dcterms:created>
  <dcterms:modified xsi:type="dcterms:W3CDTF">2012-04-23T11:36:00Z</dcterms:modified>
</cp:coreProperties>
</file>