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E1" w:rsidRDefault="00C86903" w:rsidP="00940944">
      <w:pPr>
        <w:pStyle w:val="AMIATitle"/>
      </w:pPr>
      <w:r>
        <w:t>Distributed Health Outcome Monitoring and Evaluation Using i2b2</w:t>
      </w:r>
    </w:p>
    <w:p w:rsidR="00224380" w:rsidRDefault="009769FC" w:rsidP="00224380">
      <w:pPr>
        <w:pStyle w:val="AMIAAuthors"/>
        <w:rPr>
          <w:vertAlign w:val="superscript"/>
        </w:rPr>
      </w:pPr>
      <w:r>
        <w:t>William G. Adams, MD</w:t>
      </w:r>
      <w:r w:rsidRPr="008803D4">
        <w:rPr>
          <w:vertAlign w:val="superscript"/>
        </w:rPr>
        <w:t>1</w:t>
      </w:r>
      <w:r>
        <w:t>,</w:t>
      </w:r>
      <w:r w:rsidRPr="00292490">
        <w:t xml:space="preserve"> </w:t>
      </w:r>
      <w:r>
        <w:t>Nick Anderson</w:t>
      </w:r>
      <w:r w:rsidR="00224380">
        <w:t>, PhD</w:t>
      </w:r>
      <w:r>
        <w:rPr>
          <w:vertAlign w:val="superscript"/>
        </w:rPr>
        <w:t>2</w:t>
      </w:r>
      <w:r>
        <w:t>, Eta S. Berner, EdD</w:t>
      </w:r>
      <w:r>
        <w:rPr>
          <w:vertAlign w:val="superscript"/>
        </w:rPr>
        <w:t>3</w:t>
      </w:r>
      <w:r>
        <w:t xml:space="preserve">, Daniel P. </w:t>
      </w:r>
      <w:proofErr w:type="spellStart"/>
      <w:r>
        <w:t>Schauer</w:t>
      </w:r>
      <w:proofErr w:type="spellEnd"/>
      <w:r>
        <w:t>, MD</w:t>
      </w:r>
      <w:r>
        <w:rPr>
          <w:vertAlign w:val="superscript"/>
        </w:rPr>
        <w:t>4</w:t>
      </w:r>
      <w:r>
        <w:t>, Ralph J. Zottola, PhD</w:t>
      </w:r>
      <w:r>
        <w:rPr>
          <w:vertAlign w:val="superscript"/>
        </w:rPr>
        <w:t>5</w:t>
      </w:r>
      <w:r>
        <w:t>, Elizabeth S. McClure</w:t>
      </w:r>
      <w:r>
        <w:rPr>
          <w:vertAlign w:val="superscript"/>
        </w:rPr>
        <w:t>1</w:t>
      </w:r>
      <w:r>
        <w:t>, Matthew Wyatt, MSHI</w:t>
      </w:r>
      <w:r>
        <w:rPr>
          <w:vertAlign w:val="superscript"/>
        </w:rPr>
        <w:t>3</w:t>
      </w:r>
    </w:p>
    <w:p w:rsidR="00224380" w:rsidRPr="00224380" w:rsidRDefault="00224380" w:rsidP="00224380">
      <w:pPr>
        <w:pStyle w:val="AMIAAffiliations"/>
        <w:spacing w:after="0"/>
        <w:rPr>
          <w:sz w:val="16"/>
          <w:szCs w:val="16"/>
        </w:rPr>
      </w:pPr>
    </w:p>
    <w:p w:rsidR="009769FC" w:rsidRPr="00224380" w:rsidRDefault="009769FC" w:rsidP="00224380">
      <w:pPr>
        <w:pStyle w:val="AMIAAffiliations"/>
        <w:spacing w:after="0"/>
        <w:rPr>
          <w:sz w:val="20"/>
        </w:rPr>
      </w:pPr>
      <w:r w:rsidRPr="00224380">
        <w:rPr>
          <w:sz w:val="20"/>
          <w:vertAlign w:val="superscript"/>
        </w:rPr>
        <w:t>1</w:t>
      </w:r>
      <w:r w:rsidRPr="00224380">
        <w:rPr>
          <w:sz w:val="20"/>
        </w:rPr>
        <w:t xml:space="preserve">Boston University School of Medicine, Boston, MA; </w:t>
      </w:r>
      <w:r w:rsidRPr="00224380">
        <w:rPr>
          <w:sz w:val="20"/>
          <w:vertAlign w:val="superscript"/>
        </w:rPr>
        <w:t>2</w:t>
      </w:r>
      <w:r w:rsidRPr="00224380">
        <w:rPr>
          <w:sz w:val="20"/>
        </w:rPr>
        <w:t xml:space="preserve">University of Washington School of Medicine, Seattle, WA; </w:t>
      </w:r>
      <w:r w:rsidRPr="00224380">
        <w:rPr>
          <w:sz w:val="20"/>
          <w:vertAlign w:val="superscript"/>
        </w:rPr>
        <w:t>3</w:t>
      </w:r>
      <w:r w:rsidRPr="00224380">
        <w:rPr>
          <w:sz w:val="20"/>
        </w:rPr>
        <w:t xml:space="preserve">University of Alabama School of Health Professions, Birmingham, AB; </w:t>
      </w:r>
      <w:r w:rsidRPr="00224380">
        <w:rPr>
          <w:sz w:val="20"/>
          <w:vertAlign w:val="superscript"/>
        </w:rPr>
        <w:t>4</w:t>
      </w:r>
      <w:r w:rsidRPr="00224380">
        <w:rPr>
          <w:sz w:val="20"/>
        </w:rPr>
        <w:t xml:space="preserve">University of Cincinnati College of Medicine, Cincinnati, OH; </w:t>
      </w:r>
      <w:r w:rsidRPr="00224380">
        <w:rPr>
          <w:sz w:val="20"/>
          <w:vertAlign w:val="superscript"/>
        </w:rPr>
        <w:t>5</w:t>
      </w:r>
      <w:r w:rsidRPr="00224380">
        <w:rPr>
          <w:sz w:val="20"/>
        </w:rPr>
        <w:t>University of Massachusetts Medical School, Worcester, MA</w:t>
      </w:r>
    </w:p>
    <w:p w:rsidR="000876BD" w:rsidRDefault="000876BD" w:rsidP="00940944">
      <w:pPr>
        <w:jc w:val="center"/>
      </w:pPr>
    </w:p>
    <w:p w:rsidR="00224380" w:rsidRDefault="00224380" w:rsidP="00940944">
      <w:pPr>
        <w:jc w:val="center"/>
        <w:sectPr w:rsidR="00224380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781CE1" w:rsidRPr="001A63D6" w:rsidRDefault="000876BD" w:rsidP="00224380">
      <w:pPr>
        <w:pStyle w:val="AMIAAbstractHeading"/>
        <w:spacing w:after="0"/>
        <w:rPr>
          <w:szCs w:val="22"/>
        </w:rPr>
      </w:pPr>
      <w:r w:rsidRPr="001A63D6">
        <w:rPr>
          <w:szCs w:val="22"/>
        </w:rPr>
        <w:lastRenderedPageBreak/>
        <w:t>Abstract</w:t>
      </w:r>
    </w:p>
    <w:p w:rsidR="00DB46EA" w:rsidRPr="00DB46EA" w:rsidRDefault="00224380" w:rsidP="00224380">
      <w:pPr>
        <w:pStyle w:val="AMIAAbstract"/>
        <w:spacing w:after="0"/>
        <w:rPr>
          <w:i w:val="0"/>
          <w:szCs w:val="22"/>
        </w:rPr>
      </w:pPr>
      <w:r>
        <w:rPr>
          <w:rStyle w:val="apple-style-span"/>
          <w:rFonts w:eastAsia="Malgun Gothic"/>
        </w:rPr>
        <w:t xml:space="preserve">     </w:t>
      </w:r>
      <w:r w:rsidRPr="00C94A26">
        <w:rPr>
          <w:rStyle w:val="apple-style-span"/>
          <w:rFonts w:eastAsia="Malgun Gothic"/>
        </w:rPr>
        <w:t xml:space="preserve">There is a pressing need </w:t>
      </w:r>
      <w:r>
        <w:rPr>
          <w:rStyle w:val="apple-style-span"/>
          <w:rFonts w:eastAsia="Malgun Gothic"/>
        </w:rPr>
        <w:t xml:space="preserve">for better tools to support comparative </w:t>
      </w:r>
      <w:r w:rsidRPr="00C94A26">
        <w:rPr>
          <w:rStyle w:val="apple-style-span"/>
          <w:rFonts w:eastAsia="Malgun Gothic"/>
        </w:rPr>
        <w:t>effec</w:t>
      </w:r>
      <w:r>
        <w:rPr>
          <w:rStyle w:val="apple-style-span"/>
          <w:rFonts w:eastAsia="Malgun Gothic"/>
        </w:rPr>
        <w:t>tiveness research (CER) on a national scale.  In addition, little is known about within-class outcome disparities for commonly used cardiovascular and diabetes medications.  In this presentation, we will describe out experience and findings related to the use of a new i2b2 cell, the Health Outcome Monitoring and Evaluation Cell (HOME) cell, to perform distributed CER queries at 5 collaborating CTSAs in the U.S.  Our focus is on the assessment of race, gender, and location-based disparities in outcome for patients treated with similar mediations for hypertension, dyslipidemias, and diabetes.</w:t>
      </w:r>
    </w:p>
    <w:p w:rsidR="00224380" w:rsidRDefault="00224380" w:rsidP="00940944">
      <w:pPr>
        <w:pStyle w:val="AMIAAbstract"/>
        <w:rPr>
          <w:b/>
          <w:i w:val="0"/>
          <w:szCs w:val="22"/>
        </w:rPr>
      </w:pPr>
    </w:p>
    <w:p w:rsidR="00DB46EA" w:rsidRPr="00DB46EA" w:rsidRDefault="00DB46EA" w:rsidP="00224380">
      <w:pPr>
        <w:pStyle w:val="AMIAAbstract"/>
        <w:spacing w:after="0"/>
        <w:rPr>
          <w:b/>
          <w:i w:val="0"/>
          <w:szCs w:val="22"/>
        </w:rPr>
      </w:pPr>
      <w:r w:rsidRPr="00DB46EA">
        <w:rPr>
          <w:b/>
          <w:i w:val="0"/>
          <w:szCs w:val="22"/>
        </w:rPr>
        <w:t>Introduction and Background</w:t>
      </w:r>
    </w:p>
    <w:p w:rsidR="00DB46EA" w:rsidRDefault="00DB46EA" w:rsidP="00224380">
      <w:pPr>
        <w:rPr>
          <w:rStyle w:val="apple-style-span"/>
          <w:rFonts w:eastAsia="Malgun Gothic"/>
        </w:rPr>
      </w:pPr>
      <w:r w:rsidRPr="004B6DA1">
        <w:rPr>
          <w:rStyle w:val="apple-style-span"/>
          <w:rFonts w:ascii="Arial" w:eastAsia="Malgun Gothic" w:hAnsi="Arial" w:cs="Arial"/>
          <w:sz w:val="22"/>
          <w:szCs w:val="22"/>
        </w:rPr>
        <w:t xml:space="preserve">     </w:t>
      </w:r>
      <w:r w:rsidRPr="00C94A26">
        <w:rPr>
          <w:rStyle w:val="apple-style-span"/>
          <w:rFonts w:eastAsia="Malgun Gothic"/>
        </w:rPr>
        <w:t>The clinical and translational research community has laid the ground work for a data</w:t>
      </w:r>
      <w:r>
        <w:rPr>
          <w:rStyle w:val="apple-style-span"/>
          <w:rFonts w:eastAsia="Malgun Gothic"/>
        </w:rPr>
        <w:t xml:space="preserve"> system</w:t>
      </w:r>
      <w:r w:rsidRPr="00C94A26">
        <w:rPr>
          <w:rStyle w:val="apple-style-span"/>
          <w:rFonts w:eastAsia="Malgun Gothic"/>
        </w:rPr>
        <w:t xml:space="preserve"> that can potentially address </w:t>
      </w:r>
      <w:r w:rsidR="00224380">
        <w:rPr>
          <w:rStyle w:val="apple-style-span"/>
          <w:rFonts w:eastAsia="Malgun Gothic"/>
        </w:rPr>
        <w:t xml:space="preserve">the need for better CER tools </w:t>
      </w:r>
      <w:r w:rsidRPr="00C94A26">
        <w:rPr>
          <w:rStyle w:val="apple-style-span"/>
          <w:rFonts w:eastAsia="Malgun Gothic"/>
        </w:rPr>
        <w:t>via its broad adoption of “Integrating Informatics from Biology to the Bedside (i2b2)”</w:t>
      </w:r>
      <w:proofErr w:type="gramStart"/>
      <w:r w:rsidRPr="00C94A26">
        <w:rPr>
          <w:rStyle w:val="apple-style-span"/>
          <w:rFonts w:eastAsia="Malgun Gothic"/>
        </w:rPr>
        <w:t>,</w:t>
      </w:r>
      <w:proofErr w:type="gramEnd"/>
      <w:r w:rsidRPr="00C94A26">
        <w:rPr>
          <w:rStyle w:val="apple-style-span"/>
          <w:rFonts w:eastAsia="Malgun Gothic"/>
        </w:rPr>
        <w:t xml:space="preserve"> however, critical analytic functionality is still needed before i2b2 can easily be used for CER.  </w:t>
      </w:r>
      <w:r>
        <w:rPr>
          <w:rStyle w:val="apple-style-span"/>
          <w:rFonts w:eastAsia="Malgun Gothic"/>
        </w:rPr>
        <w:t xml:space="preserve">We </w:t>
      </w:r>
      <w:r w:rsidRPr="00C94A26">
        <w:rPr>
          <w:rStyle w:val="apple-style-span"/>
          <w:rFonts w:eastAsia="Malgun Gothic"/>
        </w:rPr>
        <w:t xml:space="preserve">have developed a new i2b2 Cell, the Health Outcome Monitoring and Evaluation (HOME) Cell.  The HOME Cell allows i2b2 users to model virtually any exposure (including </w:t>
      </w:r>
      <w:r w:rsidR="00224380">
        <w:rPr>
          <w:rStyle w:val="apple-style-span"/>
          <w:rFonts w:eastAsia="Malgun Gothic"/>
        </w:rPr>
        <w:t xml:space="preserve">therapeutic </w:t>
      </w:r>
      <w:r w:rsidRPr="00C94A26">
        <w:rPr>
          <w:rStyle w:val="apple-style-span"/>
          <w:rFonts w:eastAsia="Malgun Gothic"/>
        </w:rPr>
        <w:t xml:space="preserve">interventions such as medications or tests) in i2b2 against any outcome accounting for complex temporal relationships and other factors.   In this presentation, we </w:t>
      </w:r>
      <w:r>
        <w:rPr>
          <w:rStyle w:val="apple-style-span"/>
          <w:rFonts w:eastAsia="Malgun Gothic"/>
        </w:rPr>
        <w:t xml:space="preserve">will </w:t>
      </w:r>
      <w:r w:rsidR="00224380">
        <w:rPr>
          <w:rStyle w:val="apple-style-span"/>
          <w:rFonts w:eastAsia="Malgun Gothic"/>
        </w:rPr>
        <w:t xml:space="preserve">describe our </w:t>
      </w:r>
      <w:r w:rsidRPr="00C94A26">
        <w:rPr>
          <w:rStyle w:val="apple-style-span"/>
          <w:rFonts w:eastAsia="Malgun Gothic"/>
        </w:rPr>
        <w:t>national collaboration that seeks to use i2b2 and the HOME Cell for rapid, distributed comparative effectiveness research (CER)</w:t>
      </w:r>
      <w:r>
        <w:rPr>
          <w:rStyle w:val="apple-style-span"/>
          <w:rFonts w:eastAsia="Malgun Gothic"/>
        </w:rPr>
        <w:t>.</w:t>
      </w:r>
    </w:p>
    <w:p w:rsidR="00DB46EA" w:rsidRDefault="00DB46EA" w:rsidP="00DB46EA">
      <w:pPr>
        <w:rPr>
          <w:rStyle w:val="apple-style-span"/>
          <w:rFonts w:eastAsia="Malgun Gothic"/>
        </w:rPr>
      </w:pPr>
    </w:p>
    <w:p w:rsidR="00DB46EA" w:rsidRPr="00DB46EA" w:rsidRDefault="00DB46EA" w:rsidP="00DB46EA">
      <w:pPr>
        <w:rPr>
          <w:rStyle w:val="apple-style-span"/>
          <w:rFonts w:eastAsia="Malgun Gothic"/>
          <w:b/>
        </w:rPr>
      </w:pPr>
      <w:r w:rsidRPr="00DB46EA">
        <w:rPr>
          <w:rStyle w:val="apple-style-span"/>
          <w:rFonts w:eastAsia="Malgun Gothic"/>
          <w:b/>
        </w:rPr>
        <w:t xml:space="preserve">Methods:  </w:t>
      </w:r>
    </w:p>
    <w:p w:rsidR="00DB46EA" w:rsidRDefault="00DB46EA" w:rsidP="00DC399C">
      <w:pPr>
        <w:rPr>
          <w:color w:val="000000"/>
        </w:rPr>
      </w:pPr>
      <w:r w:rsidRPr="00C94A26">
        <w:rPr>
          <w:rStyle w:val="apple-style-span"/>
          <w:rFonts w:eastAsia="Malgun Gothic"/>
        </w:rPr>
        <w:t xml:space="preserve">     </w:t>
      </w:r>
      <w:r w:rsidRPr="00C94A26">
        <w:t>CTSA site participants for this project include: Boston University, University of Massachusetts, University of Cincinnati, University of Alabama at Birmingham, and t</w:t>
      </w:r>
      <w:r>
        <w:t xml:space="preserve">he University of Washington.  </w:t>
      </w:r>
      <w:r w:rsidRPr="00C94A26">
        <w:rPr>
          <w:rStyle w:val="apple-style-span"/>
          <w:rFonts w:eastAsia="Malgun Gothic"/>
        </w:rPr>
        <w:t xml:space="preserve">The HOME Cell uses a highly portable XML-based configuration file to share complex query logic between i2b2 installations.  In this way </w:t>
      </w:r>
      <w:r w:rsidR="00DC399C">
        <w:rPr>
          <w:rStyle w:val="apple-style-span"/>
          <w:rFonts w:eastAsia="Malgun Gothic"/>
        </w:rPr>
        <w:t>CER queries can be developed in one location and easily shared with other sites.  H</w:t>
      </w:r>
      <w:r w:rsidRPr="00C94A26">
        <w:rPr>
          <w:rStyle w:val="apple-style-span"/>
          <w:rFonts w:eastAsia="Malgun Gothic"/>
        </w:rPr>
        <w:t xml:space="preserve">ealth outcome data (in aggregate format) </w:t>
      </w:r>
      <w:r w:rsidR="00DC399C">
        <w:rPr>
          <w:rStyle w:val="apple-style-span"/>
          <w:rFonts w:eastAsia="Malgun Gothic"/>
        </w:rPr>
        <w:t xml:space="preserve">can be </w:t>
      </w:r>
      <w:r w:rsidRPr="00C94A26">
        <w:rPr>
          <w:rStyle w:val="apple-style-span"/>
          <w:rFonts w:eastAsia="Malgun Gothic"/>
        </w:rPr>
        <w:t>generated for large numbers of patients by moving query logic rather than actual patient data between institutions.   </w:t>
      </w:r>
      <w:r>
        <w:rPr>
          <w:rStyle w:val="apple-style-span"/>
          <w:rFonts w:eastAsia="Malgun Gothic"/>
        </w:rPr>
        <w:t>The target research foci for the project are</w:t>
      </w:r>
      <w:r w:rsidR="00DC399C">
        <w:rPr>
          <w:rStyle w:val="apple-style-span"/>
          <w:rFonts w:eastAsia="Malgun Gothic"/>
        </w:rPr>
        <w:t xml:space="preserve"> primarily focused on the assessment of a</w:t>
      </w:r>
      <w:r>
        <w:rPr>
          <w:color w:val="000000"/>
        </w:rPr>
        <w:t>ge</w:t>
      </w:r>
      <w:r w:rsidR="00DC399C">
        <w:rPr>
          <w:color w:val="000000"/>
        </w:rPr>
        <w:t xml:space="preserve">-, </w:t>
      </w:r>
      <w:r>
        <w:rPr>
          <w:color w:val="000000"/>
        </w:rPr>
        <w:t>race</w:t>
      </w:r>
      <w:r w:rsidR="00DC399C">
        <w:rPr>
          <w:color w:val="000000"/>
        </w:rPr>
        <w:t>-</w:t>
      </w:r>
      <w:r>
        <w:rPr>
          <w:color w:val="000000"/>
        </w:rPr>
        <w:t>, and location</w:t>
      </w:r>
      <w:r w:rsidR="00DC399C">
        <w:rPr>
          <w:color w:val="000000"/>
        </w:rPr>
        <w:t xml:space="preserve">-based differences in </w:t>
      </w:r>
      <w:r>
        <w:rPr>
          <w:color w:val="000000"/>
        </w:rPr>
        <w:t>b</w:t>
      </w:r>
      <w:r w:rsidRPr="00C94A26">
        <w:rPr>
          <w:color w:val="000000"/>
        </w:rPr>
        <w:t xml:space="preserve">lood </w:t>
      </w:r>
      <w:r>
        <w:rPr>
          <w:color w:val="000000"/>
        </w:rPr>
        <w:t>pressure</w:t>
      </w:r>
      <w:r w:rsidR="00DC399C">
        <w:rPr>
          <w:color w:val="000000"/>
        </w:rPr>
        <w:t xml:space="preserve"> control</w:t>
      </w:r>
      <w:r>
        <w:rPr>
          <w:color w:val="000000"/>
        </w:rPr>
        <w:t>, lipid</w:t>
      </w:r>
      <w:r w:rsidR="00DC399C">
        <w:rPr>
          <w:color w:val="000000"/>
        </w:rPr>
        <w:t xml:space="preserve"> control</w:t>
      </w:r>
      <w:r>
        <w:rPr>
          <w:color w:val="000000"/>
        </w:rPr>
        <w:t>, and diabetes control</w:t>
      </w:r>
      <w:r w:rsidR="00DC399C">
        <w:rPr>
          <w:color w:val="000000"/>
        </w:rPr>
        <w:t xml:space="preserve"> for groups of patients on similar classes of medications.  </w:t>
      </w:r>
    </w:p>
    <w:p w:rsidR="00DC399C" w:rsidRDefault="00DC399C" w:rsidP="00DC399C">
      <w:pPr>
        <w:rPr>
          <w:color w:val="000000"/>
        </w:rPr>
      </w:pPr>
    </w:p>
    <w:p w:rsidR="00DC399C" w:rsidRPr="00DB46EA" w:rsidRDefault="00DC399C" w:rsidP="00DC399C">
      <w:pPr>
        <w:rPr>
          <w:rStyle w:val="apple-style-span"/>
          <w:rFonts w:eastAsia="Malgun Gothic"/>
          <w:b/>
        </w:rPr>
      </w:pPr>
      <w:r>
        <w:rPr>
          <w:rStyle w:val="apple-style-span"/>
          <w:rFonts w:eastAsia="Malgun Gothic"/>
          <w:b/>
        </w:rPr>
        <w:t>Results</w:t>
      </w:r>
      <w:r w:rsidRPr="00DB46EA">
        <w:rPr>
          <w:rStyle w:val="apple-style-span"/>
          <w:rFonts w:eastAsia="Malgun Gothic"/>
          <w:b/>
        </w:rPr>
        <w:t xml:space="preserve">:  </w:t>
      </w:r>
    </w:p>
    <w:p w:rsidR="00DC399C" w:rsidRDefault="00DC399C" w:rsidP="00DC399C">
      <w:pPr>
        <w:rPr>
          <w:color w:val="000000"/>
        </w:rPr>
      </w:pPr>
      <w:r>
        <w:rPr>
          <w:color w:val="000000"/>
        </w:rPr>
        <w:t xml:space="preserve">     The HOME Cell has been successfully installed at all </w:t>
      </w:r>
      <w:r w:rsidR="004A609F">
        <w:rPr>
          <w:color w:val="000000"/>
        </w:rPr>
        <w:t>participating</w:t>
      </w:r>
      <w:r w:rsidR="00C86903">
        <w:rPr>
          <w:color w:val="000000"/>
        </w:rPr>
        <w:t xml:space="preserve"> </w:t>
      </w:r>
      <w:r>
        <w:rPr>
          <w:color w:val="000000"/>
        </w:rPr>
        <w:t xml:space="preserve">sites and new functionality has been added </w:t>
      </w:r>
      <w:r w:rsidR="004A609F">
        <w:rPr>
          <w:color w:val="000000"/>
        </w:rPr>
        <w:t xml:space="preserve">to the cell </w:t>
      </w:r>
      <w:r>
        <w:rPr>
          <w:color w:val="000000"/>
        </w:rPr>
        <w:t xml:space="preserve">to support the modeling of medication </w:t>
      </w:r>
      <w:r w:rsidR="004A609F">
        <w:rPr>
          <w:color w:val="000000"/>
        </w:rPr>
        <w:t>exposure</w:t>
      </w:r>
      <w:r>
        <w:rPr>
          <w:color w:val="000000"/>
        </w:rPr>
        <w:t xml:space="preserve"> over time using start- and end-dates.  </w:t>
      </w:r>
      <w:r w:rsidR="004A609F">
        <w:rPr>
          <w:color w:val="000000"/>
        </w:rPr>
        <w:t>In addition, a common initial set of queries have been developed and distributed and a second set are under development.  Fo</w:t>
      </w:r>
      <w:r w:rsidR="003753C9">
        <w:rPr>
          <w:color w:val="000000"/>
        </w:rPr>
        <w:t>r this presentation, we will: 1) describe</w:t>
      </w:r>
      <w:r w:rsidR="004A609F">
        <w:rPr>
          <w:color w:val="000000"/>
        </w:rPr>
        <w:t xml:space="preserve"> our experience within the collaboration</w:t>
      </w:r>
      <w:r w:rsidR="003753C9">
        <w:rPr>
          <w:color w:val="000000"/>
        </w:rPr>
        <w:t xml:space="preserve">; 2) present </w:t>
      </w:r>
      <w:r w:rsidR="004A609F">
        <w:rPr>
          <w:color w:val="000000"/>
        </w:rPr>
        <w:t xml:space="preserve">results of distributed </w:t>
      </w:r>
      <w:r w:rsidR="003753C9">
        <w:rPr>
          <w:color w:val="000000"/>
        </w:rPr>
        <w:t xml:space="preserve">queries performed during the project </w:t>
      </w:r>
      <w:r w:rsidR="004A609F">
        <w:rPr>
          <w:color w:val="000000"/>
        </w:rPr>
        <w:t>in all three focus areas</w:t>
      </w:r>
      <w:r w:rsidR="003753C9">
        <w:rPr>
          <w:color w:val="000000"/>
        </w:rPr>
        <w:t xml:space="preserve">; and 3) present </w:t>
      </w:r>
      <w:r w:rsidR="004A609F">
        <w:rPr>
          <w:color w:val="000000"/>
        </w:rPr>
        <w:t>a plan for further development and distribution of the HOME Cell.</w:t>
      </w:r>
    </w:p>
    <w:p w:rsidR="004A609F" w:rsidRDefault="004A609F" w:rsidP="00DC399C">
      <w:pPr>
        <w:rPr>
          <w:color w:val="000000"/>
        </w:rPr>
      </w:pPr>
    </w:p>
    <w:p w:rsidR="004A609F" w:rsidRPr="004A609F" w:rsidRDefault="004A609F" w:rsidP="00DC399C">
      <w:pPr>
        <w:rPr>
          <w:b/>
          <w:color w:val="000000"/>
        </w:rPr>
      </w:pPr>
      <w:r w:rsidRPr="004A609F">
        <w:rPr>
          <w:b/>
          <w:color w:val="000000"/>
        </w:rPr>
        <w:t xml:space="preserve">Discussion:  </w:t>
      </w:r>
    </w:p>
    <w:p w:rsidR="00DB46EA" w:rsidRDefault="00DB46EA" w:rsidP="00DB46EA">
      <w:pPr>
        <w:rPr>
          <w:rStyle w:val="apple-style-span"/>
          <w:rFonts w:eastAsia="Malgun Gothic"/>
        </w:rPr>
      </w:pPr>
      <w:r w:rsidRPr="00C94A26">
        <w:rPr>
          <w:color w:val="000000"/>
        </w:rPr>
        <w:t xml:space="preserve">     </w:t>
      </w:r>
      <w:r w:rsidRPr="004A609F">
        <w:rPr>
          <w:rStyle w:val="apple-style-span"/>
          <w:rFonts w:eastAsia="Malgun Gothic"/>
        </w:rPr>
        <w:t xml:space="preserve">Our </w:t>
      </w:r>
      <w:r w:rsidR="004A609F">
        <w:rPr>
          <w:rStyle w:val="apple-style-span"/>
          <w:rFonts w:eastAsia="Malgun Gothic"/>
        </w:rPr>
        <w:t xml:space="preserve">project </w:t>
      </w:r>
      <w:r w:rsidRPr="004A609F">
        <w:rPr>
          <w:rStyle w:val="apple-style-span"/>
          <w:rFonts w:eastAsia="Malgun Gothic"/>
        </w:rPr>
        <w:t xml:space="preserve">addresses </w:t>
      </w:r>
      <w:r w:rsidR="004A609F">
        <w:rPr>
          <w:rStyle w:val="apple-style-span"/>
          <w:rFonts w:eastAsia="Malgun Gothic"/>
        </w:rPr>
        <w:t>multiple national priorities related to data sharing, clinical research informatics, and comparative effectiveness.  The HOME Cell is a novel, shared resource for use within the CTSA/NCATS community.  Our approach provides a new way to perform large-scale collaborative research without the need to actually move patient-level data and has demonstrated that CER, health services research, and quality measurement can share a common framework.  We believe our approach has great promise for supporting the re-use of clinical data for rapid, transparent, health outcome assessments on a national scale.</w:t>
      </w:r>
      <w:r w:rsidRPr="00C94A26">
        <w:rPr>
          <w:rStyle w:val="apple-style-span"/>
          <w:rFonts w:eastAsia="Malgun Gothic"/>
        </w:rPr>
        <w:t xml:space="preserve">  </w:t>
      </w:r>
    </w:p>
    <w:p w:rsidR="000876BD" w:rsidRDefault="000876BD" w:rsidP="00857029">
      <w:pPr>
        <w:jc w:val="both"/>
        <w:rPr>
          <w:szCs w:val="22"/>
        </w:rPr>
      </w:pPr>
    </w:p>
    <w:p w:rsidR="003753C9" w:rsidRPr="003753C9" w:rsidRDefault="003753C9" w:rsidP="00857029">
      <w:pPr>
        <w:jc w:val="both"/>
        <w:rPr>
          <w:b/>
          <w:szCs w:val="22"/>
        </w:rPr>
        <w:sectPr w:rsidR="003753C9" w:rsidRPr="003753C9" w:rsidSect="001A63D6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0876BD" w:rsidRPr="001A63D6" w:rsidRDefault="000876BD" w:rsidP="00857029">
      <w:pPr>
        <w:jc w:val="both"/>
        <w:rPr>
          <w:szCs w:val="22"/>
        </w:rPr>
      </w:pPr>
    </w:p>
    <w:sectPr w:rsidR="000876BD" w:rsidRPr="001A63D6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25" w:rsidRDefault="00D70325">
      <w:r>
        <w:separator/>
      </w:r>
    </w:p>
  </w:endnote>
  <w:endnote w:type="continuationSeparator" w:id="0">
    <w:p w:rsidR="00D70325" w:rsidRDefault="00D7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C0" w:rsidRDefault="00083F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3FC0" w:rsidRDefault="00083F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C0" w:rsidRDefault="00083F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25" w:rsidRDefault="00D70325">
      <w:r>
        <w:separator/>
      </w:r>
    </w:p>
  </w:footnote>
  <w:footnote w:type="continuationSeparator" w:id="0">
    <w:p w:rsidR="00D70325" w:rsidRDefault="00D7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61121"/>
    <w:rsid w:val="00083FC0"/>
    <w:rsid w:val="000876BD"/>
    <w:rsid w:val="000F41E2"/>
    <w:rsid w:val="00123B63"/>
    <w:rsid w:val="00152DBC"/>
    <w:rsid w:val="001A47CF"/>
    <w:rsid w:val="001A63D6"/>
    <w:rsid w:val="001D1567"/>
    <w:rsid w:val="001D1BCD"/>
    <w:rsid w:val="001D3422"/>
    <w:rsid w:val="001D5D81"/>
    <w:rsid w:val="00224380"/>
    <w:rsid w:val="00305A9B"/>
    <w:rsid w:val="00322966"/>
    <w:rsid w:val="003256DE"/>
    <w:rsid w:val="00347429"/>
    <w:rsid w:val="0035275E"/>
    <w:rsid w:val="00354693"/>
    <w:rsid w:val="003753C9"/>
    <w:rsid w:val="003A14D8"/>
    <w:rsid w:val="003B0234"/>
    <w:rsid w:val="003B79CF"/>
    <w:rsid w:val="003C0115"/>
    <w:rsid w:val="003C6BE4"/>
    <w:rsid w:val="003D19F4"/>
    <w:rsid w:val="003D5748"/>
    <w:rsid w:val="003D6C69"/>
    <w:rsid w:val="004019EA"/>
    <w:rsid w:val="00403750"/>
    <w:rsid w:val="00445876"/>
    <w:rsid w:val="004464BE"/>
    <w:rsid w:val="00447D9D"/>
    <w:rsid w:val="004A609F"/>
    <w:rsid w:val="00500BD7"/>
    <w:rsid w:val="00556080"/>
    <w:rsid w:val="00590340"/>
    <w:rsid w:val="00600255"/>
    <w:rsid w:val="00636609"/>
    <w:rsid w:val="00676DCB"/>
    <w:rsid w:val="0069458E"/>
    <w:rsid w:val="00696DA5"/>
    <w:rsid w:val="006A0A8B"/>
    <w:rsid w:val="006A2950"/>
    <w:rsid w:val="006C79A8"/>
    <w:rsid w:val="006D0A2C"/>
    <w:rsid w:val="006E41ED"/>
    <w:rsid w:val="00726B30"/>
    <w:rsid w:val="00734631"/>
    <w:rsid w:val="00737F46"/>
    <w:rsid w:val="00781CE1"/>
    <w:rsid w:val="007B0F22"/>
    <w:rsid w:val="007B4D7E"/>
    <w:rsid w:val="007C5BDF"/>
    <w:rsid w:val="007D63B4"/>
    <w:rsid w:val="007E534A"/>
    <w:rsid w:val="008304D3"/>
    <w:rsid w:val="008310C2"/>
    <w:rsid w:val="00857029"/>
    <w:rsid w:val="008803D4"/>
    <w:rsid w:val="00883CF0"/>
    <w:rsid w:val="00885900"/>
    <w:rsid w:val="00887953"/>
    <w:rsid w:val="00895E92"/>
    <w:rsid w:val="008A2E55"/>
    <w:rsid w:val="008E6278"/>
    <w:rsid w:val="00907431"/>
    <w:rsid w:val="00940944"/>
    <w:rsid w:val="0095123D"/>
    <w:rsid w:val="00956D31"/>
    <w:rsid w:val="009769FC"/>
    <w:rsid w:val="009953BE"/>
    <w:rsid w:val="00995750"/>
    <w:rsid w:val="009A55F9"/>
    <w:rsid w:val="009A7C7F"/>
    <w:rsid w:val="00A12050"/>
    <w:rsid w:val="00A33F82"/>
    <w:rsid w:val="00AF2A0A"/>
    <w:rsid w:val="00B15F26"/>
    <w:rsid w:val="00B547B7"/>
    <w:rsid w:val="00B67D9C"/>
    <w:rsid w:val="00B8702A"/>
    <w:rsid w:val="00BA3C08"/>
    <w:rsid w:val="00BD30DA"/>
    <w:rsid w:val="00BE54EA"/>
    <w:rsid w:val="00C25098"/>
    <w:rsid w:val="00C435D4"/>
    <w:rsid w:val="00C86903"/>
    <w:rsid w:val="00CA1D90"/>
    <w:rsid w:val="00CA1EF1"/>
    <w:rsid w:val="00CA52ED"/>
    <w:rsid w:val="00CD1CE4"/>
    <w:rsid w:val="00D440AF"/>
    <w:rsid w:val="00D70325"/>
    <w:rsid w:val="00D72377"/>
    <w:rsid w:val="00D9680F"/>
    <w:rsid w:val="00DA4570"/>
    <w:rsid w:val="00DA47F0"/>
    <w:rsid w:val="00DB46EA"/>
    <w:rsid w:val="00DB6D32"/>
    <w:rsid w:val="00DC026C"/>
    <w:rsid w:val="00DC399C"/>
    <w:rsid w:val="00DC4B18"/>
    <w:rsid w:val="00DC6BAB"/>
    <w:rsid w:val="00DF5E64"/>
    <w:rsid w:val="00E40A62"/>
    <w:rsid w:val="00E95959"/>
    <w:rsid w:val="00EA3C75"/>
    <w:rsid w:val="00EC29D2"/>
    <w:rsid w:val="00EC774E"/>
    <w:rsid w:val="00F66156"/>
    <w:rsid w:val="00FD64C2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template.dot</Template>
  <TotalTime>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biadams</cp:lastModifiedBy>
  <cp:revision>2</cp:revision>
  <cp:lastPrinted>2012-08-22T13:27:00Z</cp:lastPrinted>
  <dcterms:created xsi:type="dcterms:W3CDTF">2012-10-16T21:11:00Z</dcterms:created>
  <dcterms:modified xsi:type="dcterms:W3CDTF">2012-10-16T21:11:00Z</dcterms:modified>
</cp:coreProperties>
</file>